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DC" w:rsidRPr="009C02E4" w:rsidRDefault="006A1CDC" w:rsidP="009C02E4"/>
    <w:p w:rsidR="006A1CDC" w:rsidRPr="009C02E4" w:rsidRDefault="006A1CDC" w:rsidP="009C02E4">
      <w:r>
        <w:tab/>
      </w:r>
      <w:r>
        <w:tab/>
      </w:r>
      <w:r>
        <w:tab/>
      </w:r>
      <w:r>
        <w:tab/>
      </w:r>
      <w:r>
        <w:tab/>
      </w:r>
      <w:r>
        <w:tab/>
      </w:r>
      <w:r>
        <w:tab/>
      </w:r>
      <w:r w:rsidRPr="009C02E4">
        <w:t>Numer postępowania: KM.271.20.2017</w:t>
      </w:r>
    </w:p>
    <w:p w:rsidR="006A1CDC" w:rsidRPr="009C02E4" w:rsidRDefault="006A1CDC" w:rsidP="009C02E4"/>
    <w:p w:rsidR="006A1CDC" w:rsidRPr="009C02E4" w:rsidRDefault="006A1CDC" w:rsidP="009C02E4"/>
    <w:p w:rsidR="006A1CDC" w:rsidRPr="009C02E4" w:rsidRDefault="006A1CDC" w:rsidP="009C02E4">
      <w:r w:rsidRPr="009C02E4">
        <w:t>Zamawiający:</w:t>
      </w:r>
    </w:p>
    <w:p w:rsidR="006A1CDC" w:rsidRPr="009C02E4" w:rsidRDefault="006A1CDC" w:rsidP="009C02E4"/>
    <w:p w:rsidR="006A1CDC" w:rsidRPr="009C02E4" w:rsidRDefault="006A1CDC" w:rsidP="009C02E4">
      <w:r w:rsidRPr="009C02E4">
        <w:t>Gmina Miejska Chojnice</w:t>
      </w:r>
    </w:p>
    <w:p w:rsidR="006A1CDC" w:rsidRPr="009C02E4" w:rsidRDefault="006A1CDC" w:rsidP="009C02E4">
      <w:r w:rsidRPr="009C02E4">
        <w:t>Stary Rynek 1</w:t>
      </w:r>
    </w:p>
    <w:p w:rsidR="006A1CDC" w:rsidRPr="009C02E4" w:rsidRDefault="006A1CDC" w:rsidP="009C02E4">
      <w:r w:rsidRPr="009C02E4">
        <w:t>89-600 Chojnice</w:t>
      </w:r>
    </w:p>
    <w:p w:rsidR="006A1CDC" w:rsidRPr="009C02E4" w:rsidRDefault="006A1CDC" w:rsidP="009C02E4">
      <w:r w:rsidRPr="009C02E4">
        <w:t xml:space="preserve">NIP 555-19-29-639, REGON </w:t>
      </w:r>
    </w:p>
    <w:p w:rsidR="006A1CDC" w:rsidRPr="009C02E4" w:rsidRDefault="006A1CDC" w:rsidP="009C02E4"/>
    <w:p w:rsidR="006A1CDC" w:rsidRPr="009C02E4" w:rsidRDefault="006A1CDC" w:rsidP="009C02E4">
      <w:r w:rsidRPr="009C02E4">
        <w:t>ADRES POCZTY ELEKTRONICZNEJ: km@miastochojnice.pl</w:t>
      </w:r>
    </w:p>
    <w:p w:rsidR="006A1CDC" w:rsidRPr="009C02E4" w:rsidRDefault="006A1CDC" w:rsidP="009C02E4">
      <w:r w:rsidRPr="009C02E4">
        <w:t>ADRES STRONY INTERNETOWEJ: http:www.miastochojnice.pl</w:t>
      </w:r>
    </w:p>
    <w:p w:rsidR="006A1CDC" w:rsidRPr="009C02E4" w:rsidRDefault="006A1CDC" w:rsidP="009C02E4"/>
    <w:p w:rsidR="006A1CDC" w:rsidRPr="00A152D5" w:rsidRDefault="006A1CDC" w:rsidP="00A152D5">
      <w:r w:rsidRPr="00A152D5">
        <w:t xml:space="preserve">SPECYFIKACJA ISTOTNYCH WARUNKÓW ZAMÓWIENIA W POSTĘPOWANIU                                                    O UDZIELENIE ZAMÓWIENIA PUBLICZNEGO PROWADZONEGO W TRYBIE PRZETARGU NIEOGRANICZONEGO O WARTOŚCI SZACUNKOWEJ  PRZEKRACZAJĄCEJ WYRAŻONĄ W ZŁOTYCH RÓWNOWARTOŚĆ KWOTY  </w:t>
      </w:r>
      <w:r>
        <w:br/>
      </w:r>
      <w:r w:rsidRPr="00A152D5">
        <w:t xml:space="preserve">209 000 EURO </w:t>
      </w:r>
    </w:p>
    <w:p w:rsidR="006A1CDC" w:rsidRDefault="006A1CDC" w:rsidP="009C02E4"/>
    <w:p w:rsidR="006A1CDC" w:rsidRDefault="006A1CDC" w:rsidP="009C02E4"/>
    <w:p w:rsidR="006A1CDC" w:rsidRPr="00A152D5" w:rsidRDefault="006A1CDC" w:rsidP="00A152D5"/>
    <w:p w:rsidR="006A1CDC" w:rsidRPr="00A152D5" w:rsidRDefault="006A1CDC" w:rsidP="00A152D5">
      <w:pPr>
        <w:jc w:val="center"/>
        <w:rPr>
          <w:b/>
          <w:bCs/>
        </w:rPr>
      </w:pPr>
      <w:r w:rsidRPr="00A152D5">
        <w:rPr>
          <w:b/>
          <w:bCs/>
        </w:rPr>
        <w:t>Zakup taboru autobusowego</w:t>
      </w:r>
    </w:p>
    <w:p w:rsidR="006A1CDC" w:rsidRPr="00A152D5" w:rsidRDefault="006A1CDC" w:rsidP="00A152D5">
      <w:pPr>
        <w:rPr>
          <w:b/>
          <w:bCs/>
        </w:rPr>
      </w:pPr>
    </w:p>
    <w:p w:rsidR="006A1CDC" w:rsidRPr="00A152D5" w:rsidRDefault="006A1CDC" w:rsidP="00A152D5">
      <w:pPr>
        <w:rPr>
          <w:b/>
          <w:bCs/>
        </w:rPr>
      </w:pPr>
      <w:r w:rsidRPr="00A152D5">
        <w:rPr>
          <w:b/>
          <w:bCs/>
        </w:rPr>
        <w:t>w ramach projektu „Utworzenie transportowych węzłów integrujących wraz ze ścieżkami pieszo – rowerowymi i rozwojem sieci publicznego transportu zbiorowego na terenie Chojnicko – Człuchowskiego Miejskiego Obszaru Funkcjonalnego”</w:t>
      </w:r>
    </w:p>
    <w:p w:rsidR="006A1CDC" w:rsidRDefault="006A1CDC" w:rsidP="009C02E4"/>
    <w:p w:rsidR="006A1CDC" w:rsidRDefault="006A1CDC" w:rsidP="009C02E4"/>
    <w:p w:rsidR="006A1CDC" w:rsidRPr="009C02E4" w:rsidRDefault="006A1CDC" w:rsidP="009C02E4"/>
    <w:p w:rsidR="006A1CDC" w:rsidRPr="009C02E4" w:rsidRDefault="006A1CDC" w:rsidP="009C02E4"/>
    <w:p w:rsidR="006A1CDC" w:rsidRPr="009C02E4" w:rsidRDefault="006A1CDC" w:rsidP="008A3402">
      <w:r>
        <w:tab/>
      </w:r>
      <w:r>
        <w:tab/>
      </w:r>
      <w:r>
        <w:tab/>
      </w:r>
      <w:r>
        <w:tab/>
      </w:r>
      <w:r>
        <w:tab/>
      </w:r>
      <w:r>
        <w:tab/>
      </w:r>
      <w:r>
        <w:tab/>
      </w:r>
      <w:r>
        <w:tab/>
        <w:t xml:space="preserve">        </w:t>
      </w:r>
      <w:r w:rsidRPr="009C02E4">
        <w:t>ZATWIERDZAM</w:t>
      </w:r>
    </w:p>
    <w:p w:rsidR="006A1CDC" w:rsidRPr="009C02E4" w:rsidRDefault="006A1CDC" w:rsidP="009C02E4"/>
    <w:p w:rsidR="006A1CDC" w:rsidRDefault="006A1CDC" w:rsidP="009C02E4">
      <w:r>
        <w:tab/>
      </w:r>
      <w:r>
        <w:tab/>
      </w:r>
      <w:r>
        <w:tab/>
      </w:r>
      <w:r>
        <w:tab/>
      </w:r>
      <w:r>
        <w:tab/>
      </w:r>
      <w:r>
        <w:tab/>
      </w:r>
      <w:r>
        <w:tab/>
      </w:r>
      <w:r>
        <w:tab/>
      </w:r>
      <w:r>
        <w:tab/>
        <w:t>BURMISTRZ</w:t>
      </w:r>
    </w:p>
    <w:p w:rsidR="006A1CDC" w:rsidRPr="009C02E4" w:rsidRDefault="006A1CDC" w:rsidP="009C02E4">
      <w:r>
        <w:tab/>
      </w:r>
      <w:r>
        <w:tab/>
      </w:r>
      <w:r>
        <w:tab/>
      </w:r>
      <w:r>
        <w:tab/>
      </w:r>
      <w:r>
        <w:tab/>
      </w:r>
      <w:r>
        <w:tab/>
      </w:r>
      <w:r>
        <w:tab/>
      </w:r>
      <w:r>
        <w:tab/>
        <w:t xml:space="preserve">         Arseniusz Finster</w:t>
      </w:r>
    </w:p>
    <w:p w:rsidR="006A1CDC" w:rsidRDefault="006A1CDC" w:rsidP="009C02E4"/>
    <w:p w:rsidR="006A1CDC" w:rsidRDefault="006A1CDC" w:rsidP="009C02E4"/>
    <w:p w:rsidR="006A1CDC" w:rsidRPr="009C02E4" w:rsidRDefault="006A1CDC" w:rsidP="009C02E4">
      <w:r>
        <w:t>Sporządził: Beata Zielińska</w:t>
      </w:r>
    </w:p>
    <w:p w:rsidR="006A1CDC" w:rsidRDefault="006A1CDC" w:rsidP="009C02E4">
      <w:r>
        <w:t>Sprawdził: Jarosław Rekowski</w:t>
      </w:r>
    </w:p>
    <w:p w:rsidR="006A1CDC" w:rsidRPr="009C02E4" w:rsidRDefault="006A1CDC" w:rsidP="009C02E4">
      <w:r>
        <w:t>Aprobata :Agnieszka Buchwald</w:t>
      </w:r>
    </w:p>
    <w:p w:rsidR="006A1CDC" w:rsidRPr="009C02E4" w:rsidRDefault="006A1CDC" w:rsidP="009C02E4"/>
    <w:p w:rsidR="006A1CDC" w:rsidRPr="009C02E4" w:rsidRDefault="006A1CDC" w:rsidP="009C02E4">
      <w:r>
        <w:tab/>
      </w:r>
      <w:r>
        <w:tab/>
      </w:r>
      <w:r>
        <w:tab/>
      </w:r>
      <w:r>
        <w:tab/>
      </w:r>
      <w:r>
        <w:tab/>
      </w:r>
      <w:r>
        <w:tab/>
      </w:r>
      <w:r>
        <w:tab/>
      </w:r>
    </w:p>
    <w:p w:rsidR="006A1CDC" w:rsidRPr="009C02E4" w:rsidRDefault="006A1CDC" w:rsidP="009C02E4"/>
    <w:p w:rsidR="006A1CDC" w:rsidRPr="009C02E4" w:rsidRDefault="006A1CDC" w:rsidP="009C02E4"/>
    <w:p w:rsidR="006A1CDC" w:rsidRPr="009C02E4" w:rsidRDefault="006A1CDC" w:rsidP="009C02E4">
      <w:r>
        <w:tab/>
      </w:r>
      <w:r>
        <w:tab/>
      </w:r>
      <w:r>
        <w:tab/>
      </w:r>
      <w:r>
        <w:tab/>
      </w:r>
      <w:r>
        <w:tab/>
      </w:r>
      <w:r>
        <w:tab/>
      </w:r>
      <w:r>
        <w:tab/>
      </w:r>
    </w:p>
    <w:p w:rsidR="006A1CDC" w:rsidRPr="009C02E4" w:rsidRDefault="006A1CDC" w:rsidP="009C02E4"/>
    <w:p w:rsidR="006A1CDC" w:rsidRPr="009C02E4" w:rsidRDefault="006A1CDC" w:rsidP="009C02E4"/>
    <w:p w:rsidR="006A1CDC" w:rsidRPr="009C02E4"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Pr="009C02E4" w:rsidRDefault="006A1CDC" w:rsidP="009C02E4">
      <w:r w:rsidRPr="009C02E4">
        <w:t>SPIS TREŚCI</w:t>
      </w:r>
    </w:p>
    <w:p w:rsidR="006A1CDC" w:rsidRPr="009C02E4" w:rsidRDefault="006A1CDC" w:rsidP="009C02E4"/>
    <w:p w:rsidR="006A1CDC" w:rsidRPr="009C02E4" w:rsidRDefault="006A1CDC" w:rsidP="009C02E4">
      <w:r w:rsidRPr="009C02E4">
        <w:t>Część I</w:t>
      </w:r>
      <w:r w:rsidRPr="009C02E4">
        <w:tab/>
      </w:r>
      <w:r w:rsidRPr="009C02E4">
        <w:tab/>
        <w:t>INSTRUKCJA DLA WYKONAWCÓW</w:t>
      </w:r>
    </w:p>
    <w:p w:rsidR="006A1CDC" w:rsidRPr="009C02E4" w:rsidRDefault="006A1CDC" w:rsidP="009C02E4"/>
    <w:p w:rsidR="006A1CDC" w:rsidRPr="009C02E4" w:rsidRDefault="006A1CDC" w:rsidP="009C02E4">
      <w:r>
        <w:t>Rozdział 1</w:t>
      </w:r>
      <w:r>
        <w:tab/>
        <w:t>-</w:t>
      </w:r>
      <w:r w:rsidRPr="009C02E4">
        <w:tab/>
        <w:t>zamawiający i tryb postępowania,</w:t>
      </w:r>
    </w:p>
    <w:p w:rsidR="006A1CDC" w:rsidRPr="009C02E4" w:rsidRDefault="006A1CDC" w:rsidP="009C02E4"/>
    <w:p w:rsidR="006A1CDC" w:rsidRPr="009C02E4" w:rsidRDefault="006A1CDC" w:rsidP="009C02E4">
      <w:r>
        <w:t>Rozdział 2</w:t>
      </w:r>
      <w:r>
        <w:tab/>
        <w:t>-</w:t>
      </w:r>
      <w:r w:rsidRPr="009C02E4">
        <w:tab/>
        <w:t>postanowienia ogólne,</w:t>
      </w:r>
    </w:p>
    <w:p w:rsidR="006A1CDC" w:rsidRPr="009C02E4" w:rsidRDefault="006A1CDC" w:rsidP="009C02E4"/>
    <w:p w:rsidR="006A1CDC" w:rsidRPr="009C02E4" w:rsidRDefault="006A1CDC" w:rsidP="009C02E4">
      <w:r>
        <w:t>Rozdział 3</w:t>
      </w:r>
      <w:r>
        <w:tab/>
        <w:t>-</w:t>
      </w:r>
      <w:r w:rsidRPr="009C02E4">
        <w:tab/>
        <w:t>opis sposobu przygotowania, forma i zawartość oferty,</w:t>
      </w:r>
    </w:p>
    <w:p w:rsidR="006A1CDC" w:rsidRPr="009C02E4" w:rsidRDefault="006A1CDC" w:rsidP="009C02E4"/>
    <w:p w:rsidR="006A1CDC" w:rsidRPr="009C02E4" w:rsidRDefault="006A1CDC" w:rsidP="009C02E4">
      <w:r>
        <w:t>Rozdział 4</w:t>
      </w:r>
      <w:r>
        <w:tab/>
        <w:t>-</w:t>
      </w:r>
      <w:r w:rsidRPr="009C02E4">
        <w:tab/>
        <w:t>termin związania ofertą,</w:t>
      </w:r>
    </w:p>
    <w:p w:rsidR="006A1CDC" w:rsidRPr="009C02E4" w:rsidRDefault="006A1CDC" w:rsidP="009C02E4"/>
    <w:p w:rsidR="006A1CDC" w:rsidRPr="009C02E4" w:rsidRDefault="006A1CDC" w:rsidP="009C02E4">
      <w:r>
        <w:t>Rozdział 5</w:t>
      </w:r>
      <w:r>
        <w:tab/>
        <w:t>-</w:t>
      </w:r>
      <w:r w:rsidRPr="009C02E4">
        <w:tab/>
        <w:t>opis przedmiotu zamówienia,</w:t>
      </w:r>
    </w:p>
    <w:p w:rsidR="006A1CDC" w:rsidRPr="009C02E4" w:rsidRDefault="006A1CDC" w:rsidP="009C02E4"/>
    <w:p w:rsidR="006A1CDC" w:rsidRPr="009C02E4" w:rsidRDefault="006A1CDC" w:rsidP="00F768A7">
      <w:pPr>
        <w:jc w:val="both"/>
      </w:pPr>
      <w:r w:rsidRPr="009C02E4">
        <w:t>Rozdział 5 a</w:t>
      </w:r>
      <w:r>
        <w:tab/>
        <w:t>-</w:t>
      </w:r>
      <w:r w:rsidRPr="009C02E4">
        <w:tab/>
        <w:t xml:space="preserve">określenie w opisie przedmiotu zamówienia wymagań dotyczących </w:t>
      </w:r>
      <w:r>
        <w:tab/>
      </w:r>
      <w:r>
        <w:tab/>
      </w:r>
      <w:r>
        <w:tab/>
      </w:r>
      <w:r w:rsidRPr="009C02E4">
        <w:t xml:space="preserve">zatrudnienia przez Wykonawcę lub podwykonawcę  na podstawie </w:t>
      </w:r>
      <w:r>
        <w:tab/>
      </w:r>
      <w:r>
        <w:tab/>
      </w:r>
      <w:r>
        <w:tab/>
      </w:r>
      <w:r w:rsidRPr="009C02E4">
        <w:t xml:space="preserve">umowy o pracę osób wykonujących wskazane przez zamawiającego </w:t>
      </w:r>
      <w:r>
        <w:tab/>
      </w:r>
      <w:r>
        <w:tab/>
      </w:r>
      <w:r>
        <w:tab/>
      </w:r>
      <w:r w:rsidRPr="009C02E4">
        <w:t xml:space="preserve">czynności w zakresie realizacji zamówienia, jeżeli wykonanie tych </w:t>
      </w:r>
      <w:r>
        <w:tab/>
      </w:r>
      <w:r>
        <w:tab/>
      </w:r>
      <w:r>
        <w:tab/>
      </w:r>
      <w:r w:rsidRPr="009C02E4">
        <w:t xml:space="preserve">czynności polega na wykonywaniu pracy  w sposób określony w art. 22 </w:t>
      </w:r>
      <w:r>
        <w:tab/>
      </w:r>
      <w:r>
        <w:tab/>
      </w:r>
      <w:r>
        <w:tab/>
      </w:r>
      <w:r w:rsidRPr="009C02E4">
        <w:t xml:space="preserve">§ 1 ustawy z dnia  26 czerwca 1974 r. – Kodeks pracy (Dz. U. z </w:t>
      </w:r>
      <w:r>
        <w:tab/>
      </w:r>
      <w:r>
        <w:tab/>
      </w:r>
      <w:r>
        <w:tab/>
      </w:r>
      <w:r>
        <w:tab/>
      </w:r>
      <w:r w:rsidRPr="009C02E4">
        <w:t>2014 r. poz. 1502, z późn. zm.).</w:t>
      </w:r>
    </w:p>
    <w:p w:rsidR="006A1CDC" w:rsidRPr="009C02E4" w:rsidRDefault="006A1CDC" w:rsidP="00F768A7">
      <w:pPr>
        <w:jc w:val="both"/>
      </w:pPr>
    </w:p>
    <w:p w:rsidR="006A1CDC" w:rsidRPr="009C02E4" w:rsidRDefault="006A1CDC" w:rsidP="009C02E4">
      <w:r w:rsidRPr="009C02E4">
        <w:t>Rozdział 6</w:t>
      </w:r>
      <w:r w:rsidRPr="009C02E4">
        <w:tab/>
        <w:t xml:space="preserve">- </w:t>
      </w:r>
      <w:r w:rsidRPr="009C02E4">
        <w:tab/>
        <w:t>termin i warunki realizacji zamówienia,</w:t>
      </w:r>
    </w:p>
    <w:p w:rsidR="006A1CDC" w:rsidRPr="009C02E4" w:rsidRDefault="006A1CDC" w:rsidP="009C02E4"/>
    <w:p w:rsidR="006A1CDC" w:rsidRPr="009C02E4" w:rsidRDefault="006A1CDC" w:rsidP="009C02E4">
      <w:r w:rsidRPr="009C02E4">
        <w:t>Rozdział 7</w:t>
      </w:r>
      <w:r w:rsidRPr="009C02E4">
        <w:tab/>
        <w:t xml:space="preserve">- </w:t>
      </w:r>
      <w:r w:rsidRPr="009C02E4">
        <w:tab/>
        <w:t>sposób rozliczeń, opis sposobu obliczenia ceny</w:t>
      </w:r>
    </w:p>
    <w:p w:rsidR="006A1CDC" w:rsidRPr="009C02E4" w:rsidRDefault="006A1CDC" w:rsidP="009C02E4"/>
    <w:p w:rsidR="006A1CDC" w:rsidRPr="009C02E4" w:rsidRDefault="006A1CDC" w:rsidP="009C02E4">
      <w:r w:rsidRPr="009C02E4">
        <w:t>Rozdział 8</w:t>
      </w:r>
      <w:r w:rsidRPr="009C02E4">
        <w:tab/>
        <w:t xml:space="preserve">- </w:t>
      </w:r>
      <w:r w:rsidRPr="009C02E4">
        <w:tab/>
        <w:t>gwarancja,</w:t>
      </w:r>
    </w:p>
    <w:p w:rsidR="006A1CDC" w:rsidRPr="00286E49" w:rsidRDefault="006A1CDC" w:rsidP="009C02E4"/>
    <w:p w:rsidR="006A1CDC" w:rsidRPr="00286E49" w:rsidRDefault="006A1CDC" w:rsidP="009C02E4">
      <w:r w:rsidRPr="00286E49">
        <w:t>Rozdział 9</w:t>
      </w:r>
      <w:r w:rsidRPr="00286E49">
        <w:tab/>
        <w:t xml:space="preserve">- </w:t>
      </w:r>
      <w:r w:rsidRPr="00286E49">
        <w:tab/>
        <w:t>podwykonawstwo,</w:t>
      </w:r>
    </w:p>
    <w:p w:rsidR="006A1CDC" w:rsidRPr="00286E49" w:rsidRDefault="006A1CDC" w:rsidP="009C02E4"/>
    <w:p w:rsidR="006A1CDC" w:rsidRPr="00286E49" w:rsidRDefault="006A1CDC" w:rsidP="009C02E4">
      <w:r w:rsidRPr="00286E49">
        <w:t xml:space="preserve">Rozdział 10 </w:t>
      </w:r>
      <w:r w:rsidRPr="00286E49">
        <w:tab/>
        <w:t xml:space="preserve">- </w:t>
      </w:r>
      <w:r w:rsidRPr="00286E49">
        <w:tab/>
        <w:t>warunki udziału w postępowaniu,</w:t>
      </w:r>
    </w:p>
    <w:p w:rsidR="006A1CDC" w:rsidRPr="00286E49" w:rsidRDefault="006A1CDC" w:rsidP="009C02E4">
      <w:r w:rsidRPr="00286E49">
        <w:tab/>
      </w:r>
      <w:r w:rsidRPr="00286E49">
        <w:tab/>
      </w:r>
    </w:p>
    <w:p w:rsidR="006A1CDC" w:rsidRPr="00286E49" w:rsidRDefault="006A1CDC" w:rsidP="009C02E4">
      <w:r w:rsidRPr="00286E49">
        <w:t>Rozdział 11</w:t>
      </w:r>
      <w:r w:rsidRPr="00286E49">
        <w:tab/>
        <w:t>-</w:t>
      </w:r>
      <w:r w:rsidRPr="00286E49">
        <w:tab/>
        <w:t>podstawy wykluczenia z postępowania,</w:t>
      </w:r>
    </w:p>
    <w:p w:rsidR="006A1CDC" w:rsidRPr="00286E49" w:rsidRDefault="006A1CDC" w:rsidP="009C02E4"/>
    <w:p w:rsidR="006A1CDC" w:rsidRPr="00286E49" w:rsidRDefault="006A1CDC" w:rsidP="00CB6179">
      <w:pPr>
        <w:ind w:left="1985" w:hanging="1985"/>
        <w:rPr>
          <w:b/>
          <w:bCs/>
        </w:rPr>
      </w:pPr>
      <w:r w:rsidRPr="00286E49">
        <w:t>Rozdział 12</w:t>
      </w:r>
      <w:r w:rsidRPr="00286E49">
        <w:tab/>
        <w:t>-</w:t>
      </w:r>
      <w:r w:rsidRPr="00286E49">
        <w:tab/>
      </w:r>
      <w:r w:rsidRPr="00286E49">
        <w:rPr>
          <w:b/>
          <w:bCs/>
        </w:rPr>
        <w:t>Wykaz oświadczeń lub  dokumentów potwierdzających  spełnienie warunków udziału w postępowaniu oraz brak podstaw wykluczenia</w:t>
      </w:r>
      <w:r w:rsidRPr="00286E49">
        <w:t>,</w:t>
      </w:r>
    </w:p>
    <w:p w:rsidR="006A1CDC" w:rsidRPr="00286E49" w:rsidRDefault="006A1CDC" w:rsidP="009C02E4"/>
    <w:p w:rsidR="006A1CDC" w:rsidRPr="00286E49" w:rsidRDefault="006A1CDC" w:rsidP="009C02E4">
      <w:r w:rsidRPr="00286E49">
        <w:t>Rozdział 13</w:t>
      </w:r>
      <w:r w:rsidRPr="00286E49">
        <w:tab/>
        <w:t>-</w:t>
      </w:r>
      <w:r w:rsidRPr="00286E49">
        <w:tab/>
        <w:t>podmioty występujące wspólnie (konsorcjum),</w:t>
      </w:r>
    </w:p>
    <w:p w:rsidR="006A1CDC" w:rsidRPr="009C02E4" w:rsidRDefault="006A1CDC" w:rsidP="009C02E4">
      <w:r w:rsidRPr="009C02E4">
        <w:tab/>
      </w:r>
      <w:r w:rsidRPr="009C02E4">
        <w:tab/>
      </w:r>
    </w:p>
    <w:p w:rsidR="006A1CDC" w:rsidRPr="009C02E4" w:rsidRDefault="006A1CDC" w:rsidP="009C02E4"/>
    <w:p w:rsidR="006A1CDC" w:rsidRPr="009C02E4" w:rsidRDefault="006A1CDC" w:rsidP="00F768A7">
      <w:pPr>
        <w:jc w:val="both"/>
      </w:pPr>
      <w:r>
        <w:t>Rozdział 14</w:t>
      </w:r>
      <w:r>
        <w:tab/>
        <w:t>-</w:t>
      </w:r>
      <w:r w:rsidRPr="009C02E4">
        <w:tab/>
        <w:t xml:space="preserve">informacje o sposobie porozumiewania się zamawiającego z </w:t>
      </w:r>
      <w:r>
        <w:tab/>
      </w:r>
      <w:r>
        <w:tab/>
      </w:r>
      <w:r>
        <w:tab/>
      </w:r>
      <w:r>
        <w:tab/>
      </w:r>
      <w:r w:rsidRPr="009C02E4">
        <w:t xml:space="preserve">wykonawcami oraz przekazywania oświadczeń lub dokumentów, jeżeli </w:t>
      </w:r>
      <w:r>
        <w:tab/>
      </w:r>
      <w:r>
        <w:tab/>
      </w:r>
      <w:r>
        <w:tab/>
      </w:r>
      <w:r w:rsidRPr="009C02E4">
        <w:t xml:space="preserve">zamawiający, w sytuacjach określonych  art. 10c–10e, przewiduje </w:t>
      </w:r>
      <w:r>
        <w:tab/>
      </w:r>
      <w:r>
        <w:tab/>
      </w:r>
      <w:r>
        <w:tab/>
      </w:r>
      <w:r w:rsidRPr="009C02E4">
        <w:t xml:space="preserve">inny sposób porozumiewania się niż przy użyciu środków komunikacji </w:t>
      </w:r>
      <w:r>
        <w:tab/>
      </w:r>
      <w:r>
        <w:tab/>
      </w:r>
      <w:r>
        <w:tab/>
      </w:r>
      <w:r w:rsidRPr="009C02E4">
        <w:t xml:space="preserve">elektronicznej, a także wskazanie osób uprawnionych do </w:t>
      </w:r>
      <w:r>
        <w:tab/>
      </w:r>
      <w:r>
        <w:tab/>
      </w:r>
      <w:r>
        <w:tab/>
      </w:r>
      <w:r>
        <w:tab/>
      </w:r>
      <w:r>
        <w:tab/>
      </w:r>
      <w:r w:rsidRPr="009C02E4">
        <w:t>porozumiewania się  z wykonawcami,</w:t>
      </w:r>
    </w:p>
    <w:p w:rsidR="006A1CDC" w:rsidRDefault="006A1CDC" w:rsidP="00F768A7">
      <w:pPr>
        <w:jc w:val="both"/>
      </w:pPr>
    </w:p>
    <w:p w:rsidR="006A1CDC" w:rsidRPr="009C02E4" w:rsidRDefault="006A1CDC" w:rsidP="009C02E4">
      <w:r>
        <w:t>Rozdział 15</w:t>
      </w:r>
      <w:r>
        <w:tab/>
        <w:t>-</w:t>
      </w:r>
      <w:r w:rsidRPr="009C02E4">
        <w:tab/>
        <w:t>wyjaśnianie, zmiany i wycofanie ofert,</w:t>
      </w:r>
    </w:p>
    <w:p w:rsidR="006A1CDC" w:rsidRPr="009C02E4" w:rsidRDefault="006A1CDC" w:rsidP="009C02E4"/>
    <w:p w:rsidR="006A1CDC" w:rsidRPr="009C02E4" w:rsidRDefault="006A1CDC" w:rsidP="009C02E4">
      <w:r w:rsidRPr="009C02E4">
        <w:t>Rozdział 16</w:t>
      </w:r>
      <w:r>
        <w:tab/>
        <w:t>-</w:t>
      </w:r>
      <w:r w:rsidRPr="009C02E4">
        <w:tab/>
        <w:t>wadium,</w:t>
      </w:r>
    </w:p>
    <w:p w:rsidR="006A1CDC" w:rsidRPr="009C02E4" w:rsidRDefault="006A1CDC" w:rsidP="009C02E4"/>
    <w:p w:rsidR="006A1CDC" w:rsidRPr="009C02E4" w:rsidRDefault="006A1CDC" w:rsidP="009C02E4">
      <w:r>
        <w:t>Rozdział 17</w:t>
      </w:r>
      <w:r>
        <w:tab/>
        <w:t>-</w:t>
      </w:r>
      <w:r w:rsidRPr="009C02E4">
        <w:tab/>
        <w:t>zabezpieczenie należytego wykonania umowy,</w:t>
      </w:r>
    </w:p>
    <w:p w:rsidR="006A1CDC" w:rsidRPr="009C02E4" w:rsidRDefault="006A1CDC" w:rsidP="009C02E4"/>
    <w:p w:rsidR="006A1CDC" w:rsidRPr="009C02E4" w:rsidRDefault="006A1CDC" w:rsidP="009C02E4">
      <w:r>
        <w:t>Rozdział 18</w:t>
      </w:r>
      <w:r>
        <w:tab/>
        <w:t>-</w:t>
      </w:r>
      <w:r w:rsidRPr="009C02E4">
        <w:tab/>
        <w:t xml:space="preserve">waluta, w jakiej będą prowadzone rozliczenia między zamawiającym </w:t>
      </w:r>
      <w:r>
        <w:tab/>
      </w:r>
      <w:r>
        <w:tab/>
      </w:r>
      <w:r>
        <w:tab/>
      </w:r>
      <w:r w:rsidRPr="009C02E4">
        <w:t>wykonawcą,</w:t>
      </w:r>
    </w:p>
    <w:p w:rsidR="006A1CDC" w:rsidRPr="009C02E4" w:rsidRDefault="006A1CDC" w:rsidP="009C02E4"/>
    <w:p w:rsidR="006A1CDC" w:rsidRPr="009C02E4" w:rsidRDefault="006A1CDC" w:rsidP="009C02E4">
      <w:r w:rsidRPr="009C02E4">
        <w:t>Rozdział 19</w:t>
      </w:r>
      <w:r w:rsidRPr="009C02E4">
        <w:tab/>
        <w:t>-</w:t>
      </w:r>
      <w:r w:rsidRPr="009C02E4">
        <w:tab/>
        <w:t>tajemnica przedsiębiorstwa,</w:t>
      </w:r>
    </w:p>
    <w:p w:rsidR="006A1CDC" w:rsidRPr="009C02E4" w:rsidRDefault="006A1CDC" w:rsidP="009C02E4"/>
    <w:p w:rsidR="006A1CDC" w:rsidRPr="009C02E4" w:rsidRDefault="006A1CDC" w:rsidP="009C02E4">
      <w:r>
        <w:t>Rozdział 20</w:t>
      </w:r>
      <w:r>
        <w:tab/>
        <w:t>-</w:t>
      </w:r>
      <w:r w:rsidRPr="009C02E4">
        <w:tab/>
        <w:t>miejsce oraz termin składania i otwarcia ofert,</w:t>
      </w:r>
    </w:p>
    <w:p w:rsidR="006A1CDC" w:rsidRPr="009C02E4" w:rsidRDefault="006A1CDC" w:rsidP="009C02E4"/>
    <w:p w:rsidR="006A1CDC" w:rsidRPr="009C02E4" w:rsidRDefault="006A1CDC" w:rsidP="009C02E4">
      <w:r>
        <w:t>Rozdział 21</w:t>
      </w:r>
      <w:r>
        <w:tab/>
        <w:t>-</w:t>
      </w:r>
      <w:r w:rsidRPr="009C02E4">
        <w:tab/>
        <w:t>rażąco niska cena,</w:t>
      </w:r>
    </w:p>
    <w:p w:rsidR="006A1CDC" w:rsidRPr="009C02E4" w:rsidRDefault="006A1CDC" w:rsidP="009C02E4">
      <w:r w:rsidRPr="009C02E4">
        <w:tab/>
      </w:r>
      <w:r w:rsidRPr="009C02E4">
        <w:tab/>
      </w:r>
    </w:p>
    <w:p w:rsidR="006A1CDC" w:rsidRPr="009C02E4" w:rsidRDefault="006A1CDC" w:rsidP="009C02E4">
      <w:r>
        <w:t>Rozdział 22-</w:t>
      </w:r>
      <w:r>
        <w:tab/>
      </w:r>
      <w:r w:rsidRPr="009C02E4">
        <w:tab/>
        <w:t xml:space="preserve">opis kryteriów, którymi zamawiający będzie się kierował przy wyborze </w:t>
      </w:r>
      <w:r>
        <w:tab/>
      </w:r>
      <w:r>
        <w:tab/>
      </w:r>
      <w:r>
        <w:tab/>
        <w:t xml:space="preserve">oferty wraz </w:t>
      </w:r>
      <w:r w:rsidRPr="009C02E4">
        <w:t xml:space="preserve">z podaniem wag tych kryteriów i sposobu oceny ofert, </w:t>
      </w:r>
    </w:p>
    <w:p w:rsidR="006A1CDC" w:rsidRPr="009C02E4" w:rsidRDefault="006A1CDC" w:rsidP="009C02E4"/>
    <w:p w:rsidR="006A1CDC" w:rsidRPr="009C02E4" w:rsidRDefault="006A1CDC" w:rsidP="009C02E4">
      <w:r>
        <w:t>Rozdział 23</w:t>
      </w:r>
      <w:r>
        <w:tab/>
        <w:t>-</w:t>
      </w:r>
      <w:r w:rsidRPr="009C02E4">
        <w:tab/>
        <w:t>sposób oceny ofert – procedura odwrócona,</w:t>
      </w:r>
    </w:p>
    <w:p w:rsidR="006A1CDC" w:rsidRPr="009C02E4" w:rsidRDefault="006A1CDC" w:rsidP="009C02E4"/>
    <w:p w:rsidR="006A1CDC" w:rsidRPr="009C02E4" w:rsidRDefault="006A1CDC" w:rsidP="009C02E4">
      <w:r>
        <w:t>Rozdział 24</w:t>
      </w:r>
      <w:r>
        <w:tab/>
        <w:t>-</w:t>
      </w:r>
      <w:r w:rsidRPr="009C02E4">
        <w:tab/>
        <w:t>zawarcie umowy w sprawie zamówienia publicznego,</w:t>
      </w:r>
    </w:p>
    <w:p w:rsidR="006A1CDC" w:rsidRPr="009C02E4" w:rsidRDefault="006A1CDC" w:rsidP="009C02E4"/>
    <w:p w:rsidR="006A1CDC" w:rsidRPr="009C02E4" w:rsidRDefault="006A1CDC" w:rsidP="009C02E4">
      <w:r>
        <w:t>Rozdział 25</w:t>
      </w:r>
      <w:r>
        <w:tab/>
        <w:t>-</w:t>
      </w:r>
      <w:r w:rsidRPr="009C02E4">
        <w:tab/>
        <w:t>środki ochrony prawnej,</w:t>
      </w:r>
    </w:p>
    <w:p w:rsidR="006A1CDC" w:rsidRPr="009C02E4" w:rsidRDefault="006A1CDC" w:rsidP="009C02E4"/>
    <w:p w:rsidR="006A1CDC" w:rsidRPr="009C02E4" w:rsidRDefault="006A1CDC" w:rsidP="009C02E4">
      <w:r>
        <w:t>Rozdział 26</w:t>
      </w:r>
      <w:r>
        <w:tab/>
        <w:t>-</w:t>
      </w:r>
      <w:r w:rsidRPr="009C02E4">
        <w:tab/>
        <w:t>postanowienia umowne,</w:t>
      </w:r>
    </w:p>
    <w:p w:rsidR="006A1CDC" w:rsidRDefault="006A1CDC" w:rsidP="009C02E4"/>
    <w:p w:rsidR="006A1CDC" w:rsidRDefault="006A1CDC" w:rsidP="009C02E4"/>
    <w:p w:rsidR="006A1CDC" w:rsidRPr="009C02E4" w:rsidRDefault="006A1CDC" w:rsidP="009C02E4">
      <w:r w:rsidRPr="009C02E4">
        <w:t>Część II</w:t>
      </w:r>
      <w:r w:rsidRPr="009C02E4">
        <w:tab/>
      </w:r>
      <w:r w:rsidRPr="009C02E4">
        <w:tab/>
        <w:t>FORMULARZ OFERTY I ZAŁĄCZNIKI</w:t>
      </w:r>
    </w:p>
    <w:p w:rsidR="006A1CDC" w:rsidRPr="009C02E4" w:rsidRDefault="006A1CDC" w:rsidP="009C02E4">
      <w:r w:rsidRPr="009C02E4">
        <w:tab/>
      </w:r>
      <w:r w:rsidRPr="009C02E4">
        <w:tab/>
      </w:r>
    </w:p>
    <w:p w:rsidR="006A1CDC" w:rsidRPr="009C02E4" w:rsidRDefault="006A1CDC" w:rsidP="009C02E4"/>
    <w:p w:rsidR="006A1CDC" w:rsidRPr="009C02E4" w:rsidRDefault="006A1CDC" w:rsidP="009C02E4">
      <w:r w:rsidRPr="009C02E4">
        <w:t>Formularz oferty,</w:t>
      </w:r>
    </w:p>
    <w:p w:rsidR="006A1CDC" w:rsidRPr="009C02E4" w:rsidRDefault="006A1CDC" w:rsidP="009C02E4"/>
    <w:p w:rsidR="006A1CDC" w:rsidRPr="009C02E4" w:rsidRDefault="006A1CDC" w:rsidP="009C02E4">
      <w:r w:rsidRPr="009C02E4">
        <w:t>Jednolity Europejski Dokument Zamówienia (JEDZ),</w:t>
      </w:r>
    </w:p>
    <w:p w:rsidR="006A1CDC" w:rsidRPr="009C02E4" w:rsidRDefault="006A1CDC" w:rsidP="009C02E4"/>
    <w:p w:rsidR="006A1CDC" w:rsidRPr="009C02E4" w:rsidRDefault="006A1CDC" w:rsidP="009C02E4">
      <w:r>
        <w:t>I</w:t>
      </w:r>
      <w:r w:rsidRPr="009C02E4">
        <w:t>nstrukcja wypełniania (JEDZ),</w:t>
      </w:r>
    </w:p>
    <w:p w:rsidR="006A1CDC" w:rsidRPr="009C02E4" w:rsidRDefault="006A1CDC" w:rsidP="009C02E4"/>
    <w:p w:rsidR="006A1CDC" w:rsidRPr="009C02E4" w:rsidRDefault="006A1CDC" w:rsidP="009C02E4">
      <w:r w:rsidRPr="009C02E4">
        <w:t>Załącznik nr 1</w:t>
      </w:r>
      <w:r>
        <w:tab/>
        <w:t>-</w:t>
      </w:r>
      <w:r>
        <w:tab/>
        <w:t>w</w:t>
      </w:r>
      <w:r w:rsidRPr="009C02E4">
        <w:t xml:space="preserve">zór oświadczenia o przynależności lub braku przynależności do tej </w:t>
      </w:r>
      <w:r>
        <w:tab/>
      </w:r>
      <w:r>
        <w:tab/>
      </w:r>
      <w:r>
        <w:tab/>
      </w:r>
      <w:r w:rsidRPr="009C02E4">
        <w:t>samej grupy kapitałowej,</w:t>
      </w:r>
    </w:p>
    <w:p w:rsidR="006A1CDC" w:rsidRPr="009C02E4" w:rsidRDefault="006A1CDC" w:rsidP="009C02E4"/>
    <w:p w:rsidR="006A1CDC" w:rsidRPr="009C02E4" w:rsidRDefault="006A1CDC" w:rsidP="009C02E4">
      <w:r w:rsidRPr="009C02E4">
        <w:t>Załącznik nr 2</w:t>
      </w:r>
      <w:r>
        <w:tab/>
        <w:t>-</w:t>
      </w:r>
      <w:r>
        <w:tab/>
        <w:t>w</w:t>
      </w:r>
      <w:r w:rsidRPr="009C02E4">
        <w:t>zór zobowiązania podmiotów trzecich,</w:t>
      </w:r>
    </w:p>
    <w:p w:rsidR="006A1CDC" w:rsidRPr="009C02E4" w:rsidRDefault="006A1CDC" w:rsidP="009C02E4">
      <w:pPr>
        <w:rPr>
          <w:rFonts w:eastAsia="TimesNewRoman"/>
        </w:rPr>
      </w:pPr>
    </w:p>
    <w:p w:rsidR="006A1CDC" w:rsidRPr="000F2A28" w:rsidRDefault="006A1CDC" w:rsidP="009C02E4">
      <w:r w:rsidRPr="009C02E4">
        <w:t>Załącznik nr 3</w:t>
      </w:r>
      <w:r>
        <w:tab/>
        <w:t>-</w:t>
      </w:r>
      <w:r>
        <w:tab/>
      </w:r>
      <w:r>
        <w:rPr>
          <w:rFonts w:eastAsia="TimesNewRoman"/>
        </w:rPr>
        <w:t>w</w:t>
      </w:r>
      <w:r w:rsidRPr="009C02E4">
        <w:rPr>
          <w:rFonts w:eastAsia="TimesNewRoman"/>
        </w:rPr>
        <w:t xml:space="preserve">zór oświadczenia Wykonawcy o braku orzeczenia wobec niego </w:t>
      </w:r>
      <w:r>
        <w:rPr>
          <w:rFonts w:eastAsia="TimesNewRoman"/>
        </w:rPr>
        <w:tab/>
      </w:r>
      <w:r>
        <w:rPr>
          <w:rFonts w:eastAsia="TimesNewRoman"/>
        </w:rPr>
        <w:tab/>
      </w:r>
      <w:r>
        <w:rPr>
          <w:rFonts w:eastAsia="TimesNewRoman"/>
        </w:rPr>
        <w:tab/>
      </w:r>
      <w:r>
        <w:rPr>
          <w:rFonts w:eastAsia="TimesNewRoman"/>
        </w:rPr>
        <w:tab/>
      </w:r>
      <w:r w:rsidRPr="009C02E4">
        <w:rPr>
          <w:rFonts w:eastAsia="TimesNewRoman"/>
        </w:rPr>
        <w:t xml:space="preserve">tytułem środka zapobiegawczego zakazu ubiegania się o zamówienia </w:t>
      </w:r>
      <w:r>
        <w:rPr>
          <w:rFonts w:eastAsia="TimesNewRoman"/>
        </w:rPr>
        <w:tab/>
      </w:r>
      <w:r>
        <w:rPr>
          <w:rFonts w:eastAsia="TimesNewRoman"/>
        </w:rPr>
        <w:tab/>
      </w:r>
      <w:r>
        <w:rPr>
          <w:rFonts w:eastAsia="TimesNewRoman"/>
        </w:rPr>
        <w:tab/>
      </w:r>
      <w:r w:rsidRPr="009C02E4">
        <w:rPr>
          <w:rFonts w:eastAsia="TimesNewRoman"/>
        </w:rPr>
        <w:t>publiczne,</w:t>
      </w:r>
    </w:p>
    <w:p w:rsidR="006A1CDC" w:rsidRPr="009C02E4" w:rsidRDefault="006A1CDC" w:rsidP="009C02E4"/>
    <w:p w:rsidR="006A1CDC" w:rsidRPr="009C02E4" w:rsidRDefault="006A1CDC" w:rsidP="009C02E4">
      <w:r w:rsidRPr="009C02E4">
        <w:t>Załącznik nr 4</w:t>
      </w:r>
      <w:r>
        <w:tab/>
        <w:t>-</w:t>
      </w:r>
      <w:r>
        <w:tab/>
        <w:t>w</w:t>
      </w:r>
      <w:r w:rsidRPr="009C02E4">
        <w:t>ykaz wykonanych dostaw.</w:t>
      </w:r>
    </w:p>
    <w:p w:rsidR="006A1CDC" w:rsidRPr="009C02E4" w:rsidRDefault="006A1CDC" w:rsidP="009C02E4"/>
    <w:p w:rsidR="006A1CDC" w:rsidRPr="009C02E4" w:rsidRDefault="006A1CDC" w:rsidP="009C02E4"/>
    <w:p w:rsidR="006A1CDC" w:rsidRDefault="006A1CDC" w:rsidP="009C02E4"/>
    <w:p w:rsidR="006A1CDC" w:rsidRDefault="006A1CDC" w:rsidP="009C02E4"/>
    <w:p w:rsidR="006A1CDC" w:rsidRDefault="006A1CDC" w:rsidP="009C02E4"/>
    <w:p w:rsidR="006A1CDC" w:rsidRPr="009C02E4" w:rsidRDefault="006A1CDC" w:rsidP="009C02E4">
      <w:r w:rsidRPr="009C02E4">
        <w:t xml:space="preserve">Część III </w:t>
      </w:r>
      <w:r w:rsidRPr="009C02E4">
        <w:tab/>
      </w:r>
      <w:r>
        <w:tab/>
      </w:r>
      <w:r w:rsidRPr="009C02E4">
        <w:t>OPIS PRZEDMIOTU ZAMÓWIENIA</w:t>
      </w:r>
    </w:p>
    <w:p w:rsidR="006A1CDC" w:rsidRPr="009C02E4" w:rsidRDefault="006A1CDC" w:rsidP="009C02E4"/>
    <w:p w:rsidR="006A1CDC" w:rsidRPr="000F2A28" w:rsidRDefault="006A1CDC" w:rsidP="009C02E4">
      <w:r w:rsidRPr="009C02E4">
        <w:t>Szczegółowe parametry techniczne, charakterystyka wyposażenia, ogólne warunki techniczne wymagane przez Zamawiającego.</w:t>
      </w:r>
    </w:p>
    <w:p w:rsidR="006A1CDC" w:rsidRPr="009C02E4" w:rsidRDefault="006A1CDC" w:rsidP="009C02E4">
      <w:pPr>
        <w:rPr>
          <w:highlight w:val="yellow"/>
        </w:rPr>
      </w:pPr>
    </w:p>
    <w:p w:rsidR="006A1CDC" w:rsidRPr="009C02E4" w:rsidRDefault="006A1CDC" w:rsidP="009C02E4">
      <w:r w:rsidRPr="009C02E4">
        <w:t>Część IV</w:t>
      </w:r>
      <w:r w:rsidRPr="009C02E4">
        <w:tab/>
      </w:r>
      <w:r w:rsidRPr="009C02E4">
        <w:tab/>
        <w:t>WZÓR UMOWY Z ZAŁĄCZNIKAMI</w:t>
      </w:r>
    </w:p>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Default="006A1CDC" w:rsidP="009C02E4"/>
    <w:p w:rsidR="006A1CDC" w:rsidRPr="009C02E4" w:rsidRDefault="006A1CDC" w:rsidP="009C02E4"/>
    <w:p w:rsidR="006A1CDC" w:rsidRPr="005A5DFA" w:rsidRDefault="006A1CDC" w:rsidP="009C02E4">
      <w:pPr>
        <w:rPr>
          <w:b/>
          <w:bCs/>
        </w:rPr>
      </w:pPr>
      <w:r w:rsidRPr="005A5DFA">
        <w:rPr>
          <w:b/>
          <w:bCs/>
        </w:rPr>
        <w:t>CZĘŚĆ I</w:t>
      </w:r>
      <w:r w:rsidRPr="005A5DFA">
        <w:rPr>
          <w:b/>
          <w:bCs/>
        </w:rPr>
        <w:tab/>
      </w:r>
    </w:p>
    <w:p w:rsidR="006A1CDC" w:rsidRPr="005A5DFA" w:rsidRDefault="006A1CDC" w:rsidP="009C02E4">
      <w:pPr>
        <w:rPr>
          <w:b/>
          <w:bCs/>
        </w:rPr>
      </w:pPr>
      <w:r w:rsidRPr="005A5DFA">
        <w:rPr>
          <w:b/>
          <w:bCs/>
        </w:rPr>
        <w:t>INSTRUKCJA DLA WYKONAWCÓW</w:t>
      </w:r>
    </w:p>
    <w:p w:rsidR="006A1CDC" w:rsidRPr="009C02E4" w:rsidRDefault="006A1CDC" w:rsidP="009C02E4"/>
    <w:p w:rsidR="006A1CDC" w:rsidRPr="004D55D2" w:rsidRDefault="006A1CDC" w:rsidP="009C02E4">
      <w:pPr>
        <w:rPr>
          <w:b/>
          <w:bCs/>
        </w:rPr>
      </w:pPr>
      <w:r w:rsidRPr="004D55D2">
        <w:rPr>
          <w:b/>
          <w:bCs/>
        </w:rPr>
        <w:t>Rozdział 1</w:t>
      </w:r>
    </w:p>
    <w:p w:rsidR="006A1CDC" w:rsidRPr="004D55D2" w:rsidRDefault="006A1CDC" w:rsidP="009C02E4">
      <w:pPr>
        <w:rPr>
          <w:b/>
          <w:bCs/>
        </w:rPr>
      </w:pPr>
      <w:r w:rsidRPr="004D55D2">
        <w:rPr>
          <w:b/>
          <w:bCs/>
        </w:rPr>
        <w:t>Zamawiający i tryb postępowania</w:t>
      </w:r>
    </w:p>
    <w:p w:rsidR="006A1CDC" w:rsidRPr="009C02E4" w:rsidRDefault="006A1CDC" w:rsidP="009C02E4"/>
    <w:p w:rsidR="006A1CDC" w:rsidRDefault="006A1CDC" w:rsidP="00190D5D">
      <w:pPr>
        <w:numPr>
          <w:ilvl w:val="0"/>
          <w:numId w:val="1"/>
        </w:numPr>
        <w:jc w:val="both"/>
      </w:pPr>
      <w:r w:rsidRPr="009C02E4">
        <w:t xml:space="preserve">Zamawiającym jest Gmina Miejska Chojnice w imieniu, której działa Burmistrz  Miasta Chojnice, NIP 555-19-29-639, REGON 092351245, telefon: (52) 3971800 </w:t>
      </w:r>
      <w:r>
        <w:br/>
      </w:r>
      <w:r w:rsidRPr="009C02E4">
        <w:t xml:space="preserve">w. 36, 38, fax (52) 39721-94,  www.miastochojnice.pl, poczta elektroniczna: </w:t>
      </w:r>
      <w:hyperlink r:id="rId7" w:history="1">
        <w:r w:rsidRPr="007B72C6">
          <w:rPr>
            <w:rStyle w:val="Hyperlink"/>
          </w:rPr>
          <w:t>km@miastochojnice.pl</w:t>
        </w:r>
      </w:hyperlink>
      <w:r>
        <w:t>.</w:t>
      </w:r>
    </w:p>
    <w:p w:rsidR="006A1CDC" w:rsidRDefault="006A1CDC" w:rsidP="000F2A28">
      <w:pPr>
        <w:numPr>
          <w:ilvl w:val="0"/>
          <w:numId w:val="1"/>
        </w:numPr>
        <w:jc w:val="both"/>
      </w:pPr>
      <w:r w:rsidRPr="009C02E4">
        <w:t xml:space="preserve">Postępowanie o udzielenie zamówienia publicznego prowadzone jest w trybie przetargu nieograniczonego  na podstawie przepisów ustawy z dnia 29 stycznia </w:t>
      </w:r>
      <w:r>
        <w:br/>
      </w:r>
      <w:r w:rsidRPr="009C02E4">
        <w:t xml:space="preserve">2004 r. Prawo zamówień publicznych, zwana dalej ustawą Pzp (tekst jedn. Dz. U. </w:t>
      </w:r>
      <w:r>
        <w:br/>
      </w:r>
      <w:r w:rsidRPr="009C02E4">
        <w:t>z 2015 r. poz. 2164 z późn. zmianami).</w:t>
      </w:r>
    </w:p>
    <w:p w:rsidR="006A1CDC" w:rsidRDefault="006A1CDC" w:rsidP="000F2A28">
      <w:pPr>
        <w:numPr>
          <w:ilvl w:val="0"/>
          <w:numId w:val="1"/>
        </w:numPr>
        <w:jc w:val="both"/>
      </w:pPr>
      <w:r w:rsidRPr="009C02E4">
        <w:t xml:space="preserve">Wartość szacunkowa zamówienia przekracza </w:t>
      </w:r>
      <w:r>
        <w:t>wyrażoną w złotych równowartość</w:t>
      </w:r>
      <w:r w:rsidRPr="009C02E4">
        <w:t xml:space="preserve"> kwoty 209 000 Euro – dla dostaw.</w:t>
      </w:r>
    </w:p>
    <w:p w:rsidR="006A1CDC" w:rsidRDefault="006A1CDC" w:rsidP="000F2A28">
      <w:pPr>
        <w:numPr>
          <w:ilvl w:val="0"/>
          <w:numId w:val="1"/>
        </w:numPr>
        <w:jc w:val="both"/>
      </w:pPr>
      <w:r w:rsidRPr="009C02E4">
        <w:t xml:space="preserve">Nazwa postępowania nadana przez Zamawiającego: Zakup taboru autobusowego </w:t>
      </w:r>
      <w:r>
        <w:br/>
      </w:r>
      <w:r w:rsidRPr="009C02E4">
        <w:t>w ramach projektu „Utworzenie transportowych węzłów integrujących wraz ze ścieżkami pieszo – rowerowymi i rozwojem sieci publicznego transportu zbiorowego na terenie Chojnicko – Człuchowskiego Miejskiego Obszaru Funkcyjnego”</w:t>
      </w:r>
      <w:r>
        <w:t>.</w:t>
      </w:r>
    </w:p>
    <w:p w:rsidR="006A1CDC" w:rsidRDefault="006A1CDC" w:rsidP="000F2A28">
      <w:pPr>
        <w:numPr>
          <w:ilvl w:val="0"/>
          <w:numId w:val="1"/>
        </w:numPr>
        <w:jc w:val="both"/>
      </w:pPr>
      <w:r w:rsidRPr="009C02E4">
        <w:t>Rodzaj zamówienia – dostawa.</w:t>
      </w:r>
    </w:p>
    <w:p w:rsidR="006A1CDC" w:rsidRDefault="006A1CDC" w:rsidP="000F2A28">
      <w:pPr>
        <w:numPr>
          <w:ilvl w:val="0"/>
          <w:numId w:val="1"/>
        </w:numPr>
        <w:jc w:val="both"/>
      </w:pPr>
      <w:r w:rsidRPr="009C02E4">
        <w:t>Miejsce realizacji zamówienia: Gmina Miejska Chojnice.</w:t>
      </w:r>
    </w:p>
    <w:p w:rsidR="006A1CDC" w:rsidRDefault="006A1CDC" w:rsidP="000F2A28">
      <w:pPr>
        <w:numPr>
          <w:ilvl w:val="0"/>
          <w:numId w:val="1"/>
        </w:numPr>
        <w:jc w:val="both"/>
      </w:pPr>
      <w:r w:rsidRPr="009C02E4">
        <w:t>Zamawiający w dniu 12.12.2016 r. podpisał umowę z Zarządem Województwa Pomorskiego o dofinansowanie projektu.</w:t>
      </w:r>
    </w:p>
    <w:p w:rsidR="006A1CDC" w:rsidRDefault="006A1CDC" w:rsidP="000F2A28">
      <w:pPr>
        <w:numPr>
          <w:ilvl w:val="0"/>
          <w:numId w:val="1"/>
        </w:numPr>
        <w:jc w:val="both"/>
      </w:pPr>
      <w:r w:rsidRPr="009C02E4">
        <w:t xml:space="preserve">Specyfikacja istotnych warunków zamówienia, zwana dalej SIWZ, została udostępniona na stronie internetowej: </w:t>
      </w:r>
      <w:hyperlink r:id="rId8" w:history="1">
        <w:r w:rsidRPr="007B72C6">
          <w:rPr>
            <w:rStyle w:val="Hyperlink"/>
          </w:rPr>
          <w:t>www.miastochojnice.pl</w:t>
        </w:r>
      </w:hyperlink>
    </w:p>
    <w:p w:rsidR="006A1CDC" w:rsidRDefault="006A1CDC" w:rsidP="000F2A28">
      <w:pPr>
        <w:numPr>
          <w:ilvl w:val="0"/>
          <w:numId w:val="1"/>
        </w:numPr>
        <w:jc w:val="both"/>
      </w:pPr>
      <w:r w:rsidRPr="009C02E4">
        <w:t>W sprawach nieuregulowanych w niniejszej SIWZ mają zastosowanie przepi</w:t>
      </w:r>
      <w:r>
        <w:t xml:space="preserve">sy Prawa zamówień publicznych, </w:t>
      </w:r>
      <w:r w:rsidRPr="009C02E4">
        <w:t>Kodeksu Cywilnego oraz przepisów wykonawczych wydanych na ich podstawie</w:t>
      </w:r>
      <w:r>
        <w:t>,</w:t>
      </w:r>
      <w:r w:rsidRPr="009C02E4">
        <w:t xml:space="preserve"> a także przepisy innych, obo</w:t>
      </w:r>
      <w:r>
        <w:t xml:space="preserve">wiązujących </w:t>
      </w:r>
      <w:r w:rsidRPr="009C02E4">
        <w:t>we właściwym zakresie ustaw.</w:t>
      </w:r>
    </w:p>
    <w:p w:rsidR="006A1CDC" w:rsidRPr="009C02E4" w:rsidRDefault="006A1CDC" w:rsidP="000F2A28">
      <w:pPr>
        <w:numPr>
          <w:ilvl w:val="0"/>
          <w:numId w:val="1"/>
        </w:numPr>
        <w:jc w:val="both"/>
      </w:pPr>
      <w:r w:rsidRPr="009C02E4">
        <w:t>Adres i nazwa instytucji zamawiającej: Gmina Chojnice, Stary Rynek 1 89-600 Chojnice</w:t>
      </w:r>
    </w:p>
    <w:p w:rsidR="006A1CDC" w:rsidRPr="009C02E4" w:rsidRDefault="006A1CDC" w:rsidP="009C02E4"/>
    <w:p w:rsidR="006A1CDC" w:rsidRPr="004D55D2" w:rsidRDefault="006A1CDC" w:rsidP="009C02E4">
      <w:pPr>
        <w:rPr>
          <w:b/>
          <w:bCs/>
        </w:rPr>
      </w:pPr>
      <w:r w:rsidRPr="004D55D2">
        <w:rPr>
          <w:b/>
          <w:bCs/>
        </w:rPr>
        <w:t>Rozdział 2</w:t>
      </w:r>
    </w:p>
    <w:p w:rsidR="006A1CDC" w:rsidRPr="004D55D2" w:rsidRDefault="006A1CDC" w:rsidP="009C02E4">
      <w:pPr>
        <w:rPr>
          <w:b/>
          <w:bCs/>
        </w:rPr>
      </w:pPr>
      <w:r w:rsidRPr="004D55D2">
        <w:rPr>
          <w:b/>
          <w:bCs/>
        </w:rPr>
        <w:t>Postanowienia ogólne</w:t>
      </w:r>
    </w:p>
    <w:p w:rsidR="006A1CDC" w:rsidRPr="009C02E4" w:rsidRDefault="006A1CDC" w:rsidP="009C02E4"/>
    <w:p w:rsidR="006A1CDC" w:rsidRDefault="006A1CDC" w:rsidP="00B26220">
      <w:pPr>
        <w:numPr>
          <w:ilvl w:val="0"/>
          <w:numId w:val="2"/>
        </w:numPr>
        <w:jc w:val="both"/>
      </w:pPr>
      <w:r w:rsidRPr="009C02E4">
        <w:t>Za wykonawcę uważa się osobę fizyczną, osobę prawną albo jednostkę organizacyjną nieposiadającą osobowości prawnej, która ubiega się o udzielenie zamówienia publicznego, złożyła ofertę lub zawarła umowę w sprawie zamówienia publicznego.</w:t>
      </w:r>
    </w:p>
    <w:p w:rsidR="006A1CDC" w:rsidRDefault="006A1CDC" w:rsidP="000F2A28">
      <w:pPr>
        <w:numPr>
          <w:ilvl w:val="0"/>
          <w:numId w:val="2"/>
        </w:numPr>
        <w:jc w:val="both"/>
      </w:pPr>
      <w:r w:rsidRPr="009C02E4">
        <w:t>Postępowanie o udzielenie zamówienia przygotowane jest i prowadzone w sposób zapewniający zachowanie uczciwej konkurencji i równe traktowanie wykonawców oraz zgodnie z zasadami proporcjonalności  i przejrzystości.</w:t>
      </w:r>
    </w:p>
    <w:p w:rsidR="006A1CDC" w:rsidRDefault="006A1CDC" w:rsidP="000F2A28">
      <w:pPr>
        <w:numPr>
          <w:ilvl w:val="0"/>
          <w:numId w:val="2"/>
        </w:numPr>
        <w:jc w:val="both"/>
      </w:pPr>
      <w:r w:rsidRPr="009C02E4">
        <w:t>Zamawiający nie określa wymogów dotyczących zachowania poufnego charakteru informacji przekazanych wykonawcy w toku postępowania.</w:t>
      </w:r>
    </w:p>
    <w:p w:rsidR="006A1CDC" w:rsidRDefault="006A1CDC" w:rsidP="000F2A28">
      <w:pPr>
        <w:numPr>
          <w:ilvl w:val="0"/>
          <w:numId w:val="2"/>
        </w:numPr>
        <w:jc w:val="both"/>
      </w:pPr>
      <w:r w:rsidRPr="009C02E4">
        <w:t xml:space="preserve">Do czynności podejmowanych przez zamawiającego i wykonawców w postępowaniu </w:t>
      </w:r>
      <w:r>
        <w:br/>
      </w:r>
      <w:r w:rsidRPr="009C02E4">
        <w:t>o udzielenie zamówienia stosuje się przepisy ustawy z dnia 23 kwietnia 1964 r. – Kodeks cywilny (Dz. U. z 2014 r.  poz. 121, z późn. zm.), jeżeli przepisy ustawy nie stanowią inaczej.</w:t>
      </w:r>
    </w:p>
    <w:p w:rsidR="006A1CDC" w:rsidRDefault="006A1CDC" w:rsidP="000F2A28">
      <w:pPr>
        <w:numPr>
          <w:ilvl w:val="0"/>
          <w:numId w:val="2"/>
        </w:numPr>
        <w:jc w:val="both"/>
      </w:pPr>
      <w:r w:rsidRPr="009C02E4">
        <w:t>Jeżeli koniec terminu do wykonania czynności przypada na sobotę lub dzień ustawowo wolny od pracy, termin upływa dnia następnego po dniu lub dniach wolnych od pracy.</w:t>
      </w:r>
    </w:p>
    <w:p w:rsidR="006A1CDC" w:rsidRDefault="006A1CDC" w:rsidP="000F2A28">
      <w:pPr>
        <w:numPr>
          <w:ilvl w:val="0"/>
          <w:numId w:val="2"/>
        </w:numPr>
        <w:jc w:val="both"/>
      </w:pPr>
      <w:r w:rsidRPr="009C02E4">
        <w:t>Zamawiający  dopuszcza składanie ofert częściowych.</w:t>
      </w:r>
    </w:p>
    <w:p w:rsidR="006A1CDC" w:rsidRPr="00286E49" w:rsidRDefault="006A1CDC" w:rsidP="000F2A28">
      <w:pPr>
        <w:numPr>
          <w:ilvl w:val="0"/>
          <w:numId w:val="2"/>
        </w:numPr>
        <w:jc w:val="both"/>
      </w:pPr>
      <w:r w:rsidRPr="00286E49">
        <w:t>Zamawiający nie dopuszcza składania ofert wariantowych przewidujących inny sposób realizacji zamówienia niż określony w niniejszej specyfikacji.</w:t>
      </w:r>
    </w:p>
    <w:p w:rsidR="006A1CDC" w:rsidRPr="00286E49" w:rsidRDefault="006A1CDC" w:rsidP="000F2A28">
      <w:pPr>
        <w:numPr>
          <w:ilvl w:val="0"/>
          <w:numId w:val="2"/>
        </w:numPr>
        <w:jc w:val="both"/>
      </w:pPr>
      <w:r w:rsidRPr="00286E49">
        <w:t>Zamawiający nie przewiduje udzielania zamówień na podstawie art. 67 ust. 1 pkt 7) pzp.</w:t>
      </w:r>
    </w:p>
    <w:p w:rsidR="006A1CDC" w:rsidRPr="00286E49" w:rsidRDefault="006A1CDC" w:rsidP="000F2A28">
      <w:pPr>
        <w:numPr>
          <w:ilvl w:val="0"/>
          <w:numId w:val="2"/>
        </w:numPr>
        <w:jc w:val="both"/>
      </w:pPr>
      <w:r w:rsidRPr="00286E49">
        <w:t>Zamawiający nie przewiduje udzielania zaliczek na poczet realizacji zamówienia.</w:t>
      </w:r>
    </w:p>
    <w:p w:rsidR="006A1CDC" w:rsidRPr="00286E49" w:rsidRDefault="006A1CDC" w:rsidP="000F2A28">
      <w:pPr>
        <w:numPr>
          <w:ilvl w:val="0"/>
          <w:numId w:val="2"/>
        </w:numPr>
        <w:jc w:val="both"/>
      </w:pPr>
      <w:r w:rsidRPr="00286E49">
        <w:t>Wykonawca ponosi wszelkie koszty związane z przygotowaniem oferty.</w:t>
      </w:r>
    </w:p>
    <w:p w:rsidR="006A1CDC" w:rsidRPr="00286E49" w:rsidRDefault="006A1CDC" w:rsidP="000F2A28">
      <w:pPr>
        <w:numPr>
          <w:ilvl w:val="0"/>
          <w:numId w:val="2"/>
        </w:numPr>
        <w:jc w:val="both"/>
      </w:pPr>
      <w:r w:rsidRPr="00286E49">
        <w:t>Zamawiający nie będzie zawierał w niniejszym postępowaniu umowy ramowej.</w:t>
      </w:r>
    </w:p>
    <w:p w:rsidR="006A1CDC" w:rsidRPr="00286E49" w:rsidRDefault="006A1CDC" w:rsidP="000F2A28">
      <w:pPr>
        <w:numPr>
          <w:ilvl w:val="0"/>
          <w:numId w:val="2"/>
        </w:numPr>
        <w:jc w:val="both"/>
      </w:pPr>
      <w:r w:rsidRPr="00286E49">
        <w:t>Zamawiający nie zamierza ustanowić dynamicznego systemu zakupów.</w:t>
      </w:r>
    </w:p>
    <w:p w:rsidR="006A1CDC" w:rsidRPr="00286E49" w:rsidRDefault="006A1CDC" w:rsidP="000F2A28">
      <w:pPr>
        <w:numPr>
          <w:ilvl w:val="0"/>
          <w:numId w:val="2"/>
        </w:numPr>
        <w:jc w:val="both"/>
      </w:pPr>
      <w:r w:rsidRPr="00286E49">
        <w:t>Zamawiający przy wyborze najkorzystniejszej oferty nie zastosuje aukcji elektronicznej.</w:t>
      </w:r>
    </w:p>
    <w:p w:rsidR="006A1CDC" w:rsidRPr="00286E49" w:rsidRDefault="006A1CDC" w:rsidP="000F2A28">
      <w:pPr>
        <w:numPr>
          <w:ilvl w:val="0"/>
          <w:numId w:val="2"/>
        </w:numPr>
        <w:jc w:val="both"/>
      </w:pPr>
      <w:r w:rsidRPr="00286E49">
        <w:t>Zamawiający, przed wszczęciem niniejszego postępowania o udzielenie zamówienia, nie poinformował wykonawcy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6A1CDC" w:rsidRPr="00286E49" w:rsidRDefault="006A1CDC" w:rsidP="00F14588">
      <w:pPr>
        <w:numPr>
          <w:ilvl w:val="0"/>
          <w:numId w:val="2"/>
        </w:numPr>
        <w:jc w:val="both"/>
      </w:pPr>
      <w:r w:rsidRPr="00286E49">
        <w:t>Kategoria przedmiotu zamówie</w:t>
      </w:r>
      <w:r w:rsidRPr="00286E49">
        <w:rPr>
          <w:rFonts w:eastAsia="TimesNewRoman"/>
        </w:rPr>
        <w:t xml:space="preserve">ń </w:t>
      </w:r>
      <w:r w:rsidRPr="00286E49">
        <w:t>zgodnie ze Wspólnym Słownikiem Zamówie</w:t>
      </w:r>
      <w:r w:rsidRPr="00286E49">
        <w:rPr>
          <w:rFonts w:eastAsia="TimesNewRoman"/>
        </w:rPr>
        <w:t xml:space="preserve">ń </w:t>
      </w:r>
      <w:r w:rsidRPr="00286E49">
        <w:t>Publicznych (CPV): 34121100-2, 34121400-5.</w:t>
      </w:r>
    </w:p>
    <w:p w:rsidR="006A1CDC" w:rsidRPr="00286E49" w:rsidRDefault="006A1CDC" w:rsidP="00F14588">
      <w:pPr>
        <w:jc w:val="both"/>
      </w:pPr>
    </w:p>
    <w:p w:rsidR="006A1CDC" w:rsidRPr="00286E49" w:rsidRDefault="006A1CDC" w:rsidP="00F14588">
      <w:pPr>
        <w:jc w:val="both"/>
        <w:rPr>
          <w:b/>
          <w:bCs/>
        </w:rPr>
      </w:pPr>
      <w:r w:rsidRPr="00286E49">
        <w:rPr>
          <w:b/>
          <w:bCs/>
        </w:rPr>
        <w:t>Rozdział 3</w:t>
      </w:r>
    </w:p>
    <w:p w:rsidR="006A1CDC" w:rsidRPr="00286E49" w:rsidRDefault="006A1CDC" w:rsidP="00F14588">
      <w:pPr>
        <w:jc w:val="both"/>
        <w:rPr>
          <w:b/>
          <w:bCs/>
        </w:rPr>
      </w:pPr>
      <w:r w:rsidRPr="00286E49">
        <w:rPr>
          <w:b/>
          <w:bCs/>
        </w:rPr>
        <w:t>Opis sposobu przygotowania, forma i zawartość oferty</w:t>
      </w:r>
    </w:p>
    <w:p w:rsidR="006A1CDC" w:rsidRPr="00286E49" w:rsidRDefault="006A1CDC" w:rsidP="00F14588">
      <w:pPr>
        <w:jc w:val="both"/>
      </w:pPr>
    </w:p>
    <w:p w:rsidR="006A1CDC" w:rsidRPr="00286E49" w:rsidRDefault="006A1CDC" w:rsidP="00B26220">
      <w:pPr>
        <w:numPr>
          <w:ilvl w:val="0"/>
          <w:numId w:val="3"/>
        </w:numPr>
        <w:jc w:val="both"/>
      </w:pPr>
      <w:r w:rsidRPr="00286E49">
        <w:t>Wykonawca jest zobowiązany do przedstawienia oferty w języku polskim w formie pisemnej. W przypadku złożenia dokumentów sporządzonych w języku obcym wykonawca składa je wraz z tłumaczeniem na język polski.</w:t>
      </w:r>
    </w:p>
    <w:p w:rsidR="006A1CDC" w:rsidRPr="00286E49" w:rsidRDefault="006A1CDC" w:rsidP="00F14588">
      <w:pPr>
        <w:numPr>
          <w:ilvl w:val="0"/>
          <w:numId w:val="3"/>
        </w:numPr>
        <w:jc w:val="both"/>
      </w:pPr>
      <w:r w:rsidRPr="00286E49">
        <w:t xml:space="preserve">Wykonawca może złożyć tylko jedną ofertę. </w:t>
      </w:r>
    </w:p>
    <w:p w:rsidR="006A1CDC" w:rsidRPr="00286E49" w:rsidRDefault="006A1CDC" w:rsidP="00F14588">
      <w:pPr>
        <w:numPr>
          <w:ilvl w:val="0"/>
          <w:numId w:val="3"/>
        </w:numPr>
        <w:jc w:val="both"/>
      </w:pPr>
      <w:r w:rsidRPr="00286E49">
        <w:t>Oferta winna być podpisana przez wykonawcę zgodnie z wpisem do właściwego rejestru lub przez pełnomocnika upoważnionego do reprezentowania wykonawcy.</w:t>
      </w:r>
    </w:p>
    <w:p w:rsidR="006A1CDC" w:rsidRPr="00286E49" w:rsidRDefault="006A1CDC" w:rsidP="00F14588">
      <w:pPr>
        <w:numPr>
          <w:ilvl w:val="0"/>
          <w:numId w:val="3"/>
        </w:numPr>
        <w:jc w:val="both"/>
      </w:pPr>
      <w:r w:rsidRPr="00286E49">
        <w:t>W przypadku reprezentowania wykonawcy przez pełnomocnika do składanej oferty należy dołączyć odpowiednie pełnomocnictwo. Pełnomocnictwo musi posiadać formę oryginału lub kopii potwierdzonej notarialnie. Powinno również określać rodzaj i zakres czynności, które może w imieniu wykonawcy wykonywać pełnomocnik.</w:t>
      </w:r>
    </w:p>
    <w:p w:rsidR="006A1CDC" w:rsidRPr="00286E49" w:rsidRDefault="006A1CDC" w:rsidP="00F14588">
      <w:pPr>
        <w:numPr>
          <w:ilvl w:val="0"/>
          <w:numId w:val="3"/>
        </w:numPr>
        <w:jc w:val="both"/>
      </w:pPr>
      <w:r w:rsidRPr="00286E49">
        <w:t>Formularz oferty i  Jednolity Europejski Dokument Zamówienia (JEDZ) Wykonawca wypełnia, podpisuje  i załącza do oferty.</w:t>
      </w:r>
    </w:p>
    <w:p w:rsidR="006A1CDC" w:rsidRPr="00286E49" w:rsidRDefault="006A1CDC" w:rsidP="00F14588">
      <w:pPr>
        <w:numPr>
          <w:ilvl w:val="0"/>
          <w:numId w:val="3"/>
        </w:numPr>
        <w:jc w:val="both"/>
      </w:pPr>
      <w:r w:rsidRPr="00286E49">
        <w:t xml:space="preserve"> Dokumenty załączane do oferty mogą mieć formę oryginału lub kopii. </w:t>
      </w:r>
      <w:r w:rsidRPr="00286E49">
        <w:br/>
        <w:t>W przypadku załączenia kopii niezbędne jest potwierdzenie ich za zgodność z oryginałem przez osoby podpisujące ofertę.</w:t>
      </w:r>
    </w:p>
    <w:p w:rsidR="006A1CDC" w:rsidRPr="00286E49" w:rsidRDefault="006A1CDC" w:rsidP="00F14588">
      <w:pPr>
        <w:numPr>
          <w:ilvl w:val="0"/>
          <w:numId w:val="3"/>
        </w:numPr>
        <w:jc w:val="both"/>
      </w:pPr>
      <w:r w:rsidRPr="00286E49">
        <w:t>Wszystkie poprawki lub zmiany w tekście oferty muszą być parafowane własnoręcznie przez osobę podpisującą ofertę.</w:t>
      </w:r>
    </w:p>
    <w:p w:rsidR="006A1CDC" w:rsidRPr="00286E49" w:rsidRDefault="006A1CDC" w:rsidP="00F14588">
      <w:pPr>
        <w:numPr>
          <w:ilvl w:val="0"/>
          <w:numId w:val="3"/>
        </w:numPr>
        <w:jc w:val="both"/>
      </w:pPr>
      <w:r w:rsidRPr="00286E49">
        <w:t>Wykonawca/Wykonawcy występujący wspólnie (konsorcjum, spółka cywilna) zobowiązani są wskazać w formularzu oferty dokładną nazwę/nazwy wszystkich podmiotów składających ofertę jak również ich NIP i REGON. Powyższe informacje umożliwią zamawiającemu weryfikację, czy osoby podpisujące ofertę lub udzielające pełnomocnictwa posiadają uprawnienia do reprezentowania wykonawcy.</w:t>
      </w:r>
    </w:p>
    <w:p w:rsidR="006A1CDC" w:rsidRPr="00286E49" w:rsidRDefault="006A1CDC" w:rsidP="009C02E4"/>
    <w:p w:rsidR="006A1CDC" w:rsidRPr="00286E49" w:rsidRDefault="006A1CDC" w:rsidP="009C02E4">
      <w:pPr>
        <w:rPr>
          <w:b/>
          <w:bCs/>
        </w:rPr>
      </w:pPr>
      <w:r w:rsidRPr="00286E49">
        <w:rPr>
          <w:b/>
          <w:bCs/>
        </w:rPr>
        <w:t>Rozdział 4</w:t>
      </w:r>
    </w:p>
    <w:p w:rsidR="006A1CDC" w:rsidRPr="00286E49" w:rsidRDefault="006A1CDC" w:rsidP="009C02E4">
      <w:pPr>
        <w:rPr>
          <w:b/>
          <w:bCs/>
        </w:rPr>
      </w:pPr>
      <w:r w:rsidRPr="00286E49">
        <w:rPr>
          <w:b/>
          <w:bCs/>
        </w:rPr>
        <w:t>Termin związania ofertą</w:t>
      </w:r>
    </w:p>
    <w:p w:rsidR="006A1CDC" w:rsidRPr="00286E49" w:rsidRDefault="006A1CDC" w:rsidP="009C02E4"/>
    <w:p w:rsidR="006A1CDC" w:rsidRPr="00286E49" w:rsidRDefault="006A1CDC" w:rsidP="00B26220">
      <w:pPr>
        <w:numPr>
          <w:ilvl w:val="0"/>
          <w:numId w:val="4"/>
        </w:numPr>
        <w:jc w:val="both"/>
      </w:pPr>
      <w:r w:rsidRPr="00286E49">
        <w:t>Wykonawca pozostaje związany złożoną ofertą przez okres 60 dni. Bieg terminu związania ofertą rozpoczyna się wraz z upływem terminu składania ofert.</w:t>
      </w:r>
    </w:p>
    <w:p w:rsidR="006A1CDC" w:rsidRPr="00286E49" w:rsidRDefault="006A1CDC" w:rsidP="00F14588">
      <w:pPr>
        <w:numPr>
          <w:ilvl w:val="0"/>
          <w:numId w:val="4"/>
        </w:numPr>
        <w:jc w:val="both"/>
      </w:pPr>
      <w:r w:rsidRPr="00286E49">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A1CDC" w:rsidRPr="00286E49" w:rsidRDefault="006A1CDC" w:rsidP="00F14588">
      <w:pPr>
        <w:numPr>
          <w:ilvl w:val="0"/>
          <w:numId w:val="4"/>
        </w:numPr>
        <w:jc w:val="both"/>
      </w:pPr>
      <w:r w:rsidRPr="00286E49">
        <w:t>Odmowa wyrażenia zgody na przedłużenie terminu związania ofertą nie powoduje utraty wadium.</w:t>
      </w:r>
    </w:p>
    <w:p w:rsidR="006A1CDC" w:rsidRPr="00286E49" w:rsidRDefault="006A1CDC" w:rsidP="00F14588">
      <w:pPr>
        <w:numPr>
          <w:ilvl w:val="0"/>
          <w:numId w:val="4"/>
        </w:numPr>
        <w:jc w:val="both"/>
      </w:pPr>
      <w:r w:rsidRPr="00286E49">
        <w:t xml:space="preserve">Przedłużenie przez wykonawców okresu związania ofertą jest dopuszczalne tylko </w:t>
      </w:r>
      <w:r w:rsidRPr="00286E49">
        <w:br/>
        <w:t>z jednoczesnym przedłużeniem okresu ważności wadium albo, jeżeli nie jest to możliwe, z wniesieniem nowego wadium na przedłużony okres związania ofertą.</w:t>
      </w:r>
    </w:p>
    <w:p w:rsidR="006A1CDC" w:rsidRPr="00286E49" w:rsidRDefault="006A1CDC" w:rsidP="00F14588">
      <w:pPr>
        <w:jc w:val="both"/>
      </w:pPr>
    </w:p>
    <w:p w:rsidR="006A1CDC" w:rsidRPr="00286E49" w:rsidRDefault="006A1CDC" w:rsidP="00F14588">
      <w:pPr>
        <w:jc w:val="both"/>
        <w:rPr>
          <w:b/>
          <w:bCs/>
        </w:rPr>
      </w:pPr>
      <w:r w:rsidRPr="00286E49">
        <w:rPr>
          <w:b/>
          <w:bCs/>
        </w:rPr>
        <w:t>Rozdział 5</w:t>
      </w:r>
    </w:p>
    <w:p w:rsidR="006A1CDC" w:rsidRPr="00286E49" w:rsidRDefault="006A1CDC" w:rsidP="00F14588">
      <w:pPr>
        <w:jc w:val="both"/>
        <w:rPr>
          <w:b/>
          <w:bCs/>
        </w:rPr>
      </w:pPr>
      <w:r w:rsidRPr="00286E49">
        <w:rPr>
          <w:b/>
          <w:bCs/>
        </w:rPr>
        <w:t>Opis przedmiotu zamówienia</w:t>
      </w:r>
    </w:p>
    <w:p w:rsidR="006A1CDC" w:rsidRPr="00286E49" w:rsidRDefault="006A1CDC" w:rsidP="00F14588">
      <w:pPr>
        <w:jc w:val="both"/>
      </w:pPr>
    </w:p>
    <w:p w:rsidR="006A1CDC" w:rsidRPr="00286E49" w:rsidRDefault="006A1CDC" w:rsidP="0031016C">
      <w:pPr>
        <w:numPr>
          <w:ilvl w:val="0"/>
          <w:numId w:val="27"/>
        </w:numPr>
        <w:jc w:val="both"/>
      </w:pPr>
      <w:r w:rsidRPr="00286E49">
        <w:t>Przedmiotem zamówienia jest dostawa 8 sztuk fabrycznie nowych, niskoemisyjnych, niskopodłogowych, miejskich autobusów na potrzeby transportu publicznego w Chojnicach.</w:t>
      </w:r>
      <w:r w:rsidRPr="00286E49">
        <w:br/>
        <w:t>Zakres dostawy obejmuje dostawę 8 sztuk autobusów wraz z wyposażeniem dodatkowym oraz dostawę dokumentacji i niezbędnego oprogramowania na warunkach określonych w SIWZ. Przedmiot zamówienia został podzielony na dwie części zwane dalej „Część I ” i „Część II”.</w:t>
      </w:r>
    </w:p>
    <w:p w:rsidR="006A1CDC" w:rsidRPr="00286E49" w:rsidRDefault="006A1CDC" w:rsidP="0031016C">
      <w:pPr>
        <w:numPr>
          <w:ilvl w:val="0"/>
          <w:numId w:val="27"/>
        </w:numPr>
        <w:jc w:val="both"/>
        <w:rPr>
          <w:b/>
          <w:bCs/>
        </w:rPr>
      </w:pPr>
      <w:r w:rsidRPr="00286E49">
        <w:rPr>
          <w:b/>
          <w:bCs/>
        </w:rPr>
        <w:t>Część I</w:t>
      </w:r>
    </w:p>
    <w:p w:rsidR="006A1CDC" w:rsidRPr="00286E49" w:rsidRDefault="006A1CDC" w:rsidP="0031016C">
      <w:pPr>
        <w:ind w:left="720"/>
        <w:jc w:val="both"/>
        <w:rPr>
          <w:b/>
          <w:bCs/>
        </w:rPr>
      </w:pPr>
      <w:r w:rsidRPr="00286E49">
        <w:rPr>
          <w:b/>
          <w:bCs/>
        </w:rPr>
        <w:t>Dostawa 5 sztuk autobusów o długości ok. 12 metrów zwanych dalej autobusami „MAXI -dwunastometrowymi”.</w:t>
      </w:r>
    </w:p>
    <w:p w:rsidR="006A1CDC" w:rsidRPr="00286E49" w:rsidRDefault="006A1CDC" w:rsidP="00F14588">
      <w:pPr>
        <w:jc w:val="both"/>
        <w:rPr>
          <w:b/>
          <w:bCs/>
        </w:rPr>
      </w:pPr>
      <w:r w:rsidRPr="00286E49">
        <w:rPr>
          <w:b/>
          <w:bCs/>
        </w:rPr>
        <w:t>Autobusy „MAXI dwunastometrowe”</w:t>
      </w:r>
    </w:p>
    <w:p w:rsidR="006A1CDC" w:rsidRPr="00286E49" w:rsidRDefault="006A1CDC" w:rsidP="00F14588">
      <w:pPr>
        <w:jc w:val="both"/>
      </w:pPr>
      <w:r w:rsidRPr="00286E49">
        <w:t>Podstawowa charakterystyka pojazdów:</w:t>
      </w:r>
    </w:p>
    <w:p w:rsidR="006A1CDC" w:rsidRPr="00286E49" w:rsidRDefault="006A1CDC" w:rsidP="00F14588">
      <w:pPr>
        <w:jc w:val="both"/>
      </w:pPr>
      <w:r w:rsidRPr="00286E49">
        <w:t>Długość całkowita: od 11 500 mm do 12 200 mm.</w:t>
      </w:r>
    </w:p>
    <w:p w:rsidR="006A1CDC" w:rsidRPr="00286E49" w:rsidRDefault="006A1CDC" w:rsidP="00F14588">
      <w:pPr>
        <w:jc w:val="both"/>
      </w:pPr>
      <w:r w:rsidRPr="00286E49">
        <w:t>Szerokość całkowita (bez lusterek bocznych): do 2 550 mm.</w:t>
      </w:r>
    </w:p>
    <w:p w:rsidR="006A1CDC" w:rsidRPr="00286E49" w:rsidRDefault="006A1CDC" w:rsidP="00F14588">
      <w:pPr>
        <w:jc w:val="both"/>
      </w:pPr>
      <w:r w:rsidRPr="00286E49">
        <w:t>Wysokość całkowita: do 3 450 mm.</w:t>
      </w:r>
    </w:p>
    <w:p w:rsidR="006A1CDC" w:rsidRPr="00286E49" w:rsidRDefault="006A1CDC" w:rsidP="00F14588">
      <w:pPr>
        <w:jc w:val="both"/>
      </w:pPr>
      <w:r w:rsidRPr="00286E49">
        <w:t>Ilość miejsc pasażerskich siedzących i stojących – co najmniej 75 (łącznie).</w:t>
      </w:r>
    </w:p>
    <w:p w:rsidR="006A1CDC" w:rsidRPr="00286E49" w:rsidRDefault="006A1CDC" w:rsidP="00F14588">
      <w:pPr>
        <w:jc w:val="both"/>
      </w:pPr>
      <w:r w:rsidRPr="00286E49">
        <w:t xml:space="preserve">Minimalna ilość miejsc siedzących (bez miejsca kierowcy) – 25, w tym co najmniej: </w:t>
      </w:r>
      <w:r w:rsidRPr="00286E49">
        <w:br/>
        <w:t>4 miejsca siedzące wykonane jako siedzenia specjalne dla pasażerów niepełnosprawnych.</w:t>
      </w:r>
    </w:p>
    <w:p w:rsidR="006A1CDC" w:rsidRPr="00286E49" w:rsidRDefault="006A1CDC" w:rsidP="00F14588">
      <w:pPr>
        <w:jc w:val="both"/>
      </w:pPr>
      <w:r w:rsidRPr="00286E49">
        <w:t>Co najmniej 5 miejsc siedzących dostępnych bezpośrednio z poziomu niskiej podłogi, tj. umożliwiające pasażerowi swobodne zajęcie miejsca z poziomu podłogi bez pokonywania stopni.</w:t>
      </w:r>
    </w:p>
    <w:p w:rsidR="006A1CDC" w:rsidRPr="00286E49" w:rsidRDefault="006A1CDC" w:rsidP="00F14588">
      <w:pPr>
        <w:jc w:val="both"/>
      </w:pPr>
      <w:r w:rsidRPr="00286E49">
        <w:t>Silnik wysokoprężny napędu hybrydowego o pojemności co najmniej 4,5 dm</w:t>
      </w:r>
      <w:r w:rsidRPr="00286E49">
        <w:rPr>
          <w:vertAlign w:val="superscript"/>
        </w:rPr>
        <w:t>3</w:t>
      </w:r>
      <w:r w:rsidRPr="00286E49">
        <w:t>, lecz nie większej niż 7,0 dm</w:t>
      </w:r>
      <w:r w:rsidRPr="00286E49">
        <w:rPr>
          <w:sz w:val="20"/>
          <w:szCs w:val="20"/>
          <w:vertAlign w:val="superscript"/>
        </w:rPr>
        <w:t>3</w:t>
      </w:r>
      <w:r w:rsidRPr="00286E49">
        <w:t xml:space="preserve"> z chłodzeniem powietrza doładowanego.</w:t>
      </w:r>
    </w:p>
    <w:p w:rsidR="006A1CDC" w:rsidRPr="00286E49" w:rsidRDefault="006A1CDC" w:rsidP="00F14588">
      <w:pPr>
        <w:jc w:val="both"/>
      </w:pPr>
      <w:r w:rsidRPr="00286E49">
        <w:t>Silnik Diesla spełniający poziom emisji spalin min. Euro-6.</w:t>
      </w:r>
    </w:p>
    <w:p w:rsidR="006A1CDC" w:rsidRPr="00286E49" w:rsidRDefault="006A1CDC" w:rsidP="00F14588">
      <w:pPr>
        <w:jc w:val="both"/>
      </w:pPr>
      <w:r w:rsidRPr="00286E49">
        <w:t>Moc minimalna silnika wysokoprężnego  150 kW / 210KM.</w:t>
      </w:r>
    </w:p>
    <w:p w:rsidR="006A1CDC" w:rsidRPr="00286E49" w:rsidRDefault="006A1CDC" w:rsidP="00F14588">
      <w:pPr>
        <w:jc w:val="both"/>
      </w:pPr>
      <w:r w:rsidRPr="00286E49">
        <w:t xml:space="preserve">Silnik spalinowy musi być przystosowany do paliwa zawierającego biokomponenty </w:t>
      </w:r>
      <w:r w:rsidRPr="00286E49">
        <w:br/>
        <w:t>w ilościach maksymalnych przewidzianych przez obowiązujące normy i przepisy (PN EN590: 2013, Rozporządzenie Ministra Gospodarki z dnia 9 października 2015 r. w sprawie wymagań jakościowych dla paliw ciekłych Dz. U. 2015 poz. 1680).</w:t>
      </w:r>
    </w:p>
    <w:p w:rsidR="006A1CDC" w:rsidRPr="00286E49" w:rsidRDefault="006A1CDC" w:rsidP="00F14588">
      <w:pPr>
        <w:jc w:val="both"/>
      </w:pPr>
      <w:r w:rsidRPr="00286E49">
        <w:t>Poziom emisji spalin (wg testu WHTC lub równoważnego), nie większy niż:</w:t>
      </w:r>
    </w:p>
    <w:p w:rsidR="006A1CDC" w:rsidRPr="00286E49" w:rsidRDefault="006A1CDC" w:rsidP="00F14588">
      <w:pPr>
        <w:jc w:val="both"/>
      </w:pPr>
      <w:r w:rsidRPr="00286E49">
        <w:t>-</w:t>
      </w:r>
      <w:r w:rsidRPr="00286E49">
        <w:tab/>
        <w:t>emisja tlenku węgla  CO – 4,0 g/kWh,</w:t>
      </w:r>
    </w:p>
    <w:p w:rsidR="006A1CDC" w:rsidRPr="00286E49" w:rsidRDefault="006A1CDC" w:rsidP="00F14588">
      <w:pPr>
        <w:jc w:val="both"/>
      </w:pPr>
      <w:r w:rsidRPr="00286E49">
        <w:t>-</w:t>
      </w:r>
      <w:r w:rsidRPr="00286E49">
        <w:tab/>
        <w:t>emisja węglowodorów THC – 0,16 g/kWh,</w:t>
      </w:r>
    </w:p>
    <w:p w:rsidR="006A1CDC" w:rsidRPr="00286E49" w:rsidRDefault="006A1CDC" w:rsidP="00F14588">
      <w:pPr>
        <w:jc w:val="both"/>
      </w:pPr>
      <w:r w:rsidRPr="00286E49">
        <w:t>-</w:t>
      </w:r>
      <w:r w:rsidRPr="00286E49">
        <w:tab/>
        <w:t>emisja tlenków azotu NOx – 0,46 g/kWh,</w:t>
      </w:r>
    </w:p>
    <w:p w:rsidR="006A1CDC" w:rsidRPr="00286E49" w:rsidRDefault="006A1CDC" w:rsidP="00F14588">
      <w:pPr>
        <w:jc w:val="both"/>
      </w:pPr>
      <w:r w:rsidRPr="00286E49">
        <w:t>-</w:t>
      </w:r>
      <w:r w:rsidRPr="00286E49">
        <w:tab/>
        <w:t>emisja cząstek stałych PM  - 0,01 g/kWh.</w:t>
      </w:r>
    </w:p>
    <w:p w:rsidR="006A1CDC" w:rsidRPr="00286E49" w:rsidRDefault="006A1CDC" w:rsidP="00F14588">
      <w:pPr>
        <w:jc w:val="both"/>
      </w:pPr>
      <w:r w:rsidRPr="00286E49">
        <w:t>Maksymalne zużycia oleju napędowego na podstawie testu SORT-2 nie większe niż 30 litrów/100 km.</w:t>
      </w:r>
    </w:p>
    <w:p w:rsidR="006A1CDC" w:rsidRPr="00286E49" w:rsidRDefault="006A1CDC" w:rsidP="00F14588">
      <w:pPr>
        <w:jc w:val="both"/>
      </w:pPr>
      <w:r w:rsidRPr="00286E49">
        <w:t>Akumulacja energii elektrycznej w autobusie ma pochodzić z rekuperacji (przetwarzania energii hamowania na energię elektryczną) oraz nadmiaru chwilowej mocy silnika wysokoprężnego, które mogą występować jednocześnie lub niezależnie od siebie.</w:t>
      </w:r>
    </w:p>
    <w:p w:rsidR="006A1CDC" w:rsidRPr="00286E49" w:rsidRDefault="006A1CDC" w:rsidP="00F14588">
      <w:pPr>
        <w:jc w:val="both"/>
      </w:pPr>
      <w:r w:rsidRPr="00286E49">
        <w:t>Autobusy muszą być pojazdami fabrycznie nowymi (wg definicji z Ustawy Prawo o ruchu drogowym z 20 czerwca 1997 r. – tekst jednolity Dz. U. z 2012r. poz. 1137 z późn. zmianami). Zamawiający wymaga, aby wszystkie elementy konstrukcyjne, części, elementy wyposażenia, elementy każdego z systemów, a także dostarczany wraz z autobusami sprzęt, urządzenia i narzędzia były fabrycznie nowe.</w:t>
      </w:r>
    </w:p>
    <w:p w:rsidR="006A1CDC" w:rsidRPr="00286E49" w:rsidRDefault="006A1CDC" w:rsidP="00F14588">
      <w:pPr>
        <w:jc w:val="both"/>
      </w:pPr>
      <w:r w:rsidRPr="00286E49">
        <w:t>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2015 r. poz. 305 z późn. zmianami) wymaganych dla dopuszczenia do ruchu bez żadnych odstępstw.</w:t>
      </w:r>
    </w:p>
    <w:p w:rsidR="006A1CDC" w:rsidRPr="00286E49" w:rsidRDefault="006A1CDC" w:rsidP="00F14588">
      <w:pPr>
        <w:jc w:val="both"/>
      </w:pPr>
      <w:r w:rsidRPr="00286E49">
        <w:t xml:space="preserve">Autobusy mają posiadać napęd hybrydowy, napędzany silnikiem wysokoprężnym </w:t>
      </w:r>
      <w:r w:rsidRPr="00286E49">
        <w:br/>
        <w:t>i silnikiem/silnikami elektrycznym/elektrycznymi w równoległym lub szeregowym systemie hybrydowym. Silniki napędu hybrydowego mogą pracować, w zależności od potrzeb, na przemian lub jednocześnie.</w:t>
      </w:r>
    </w:p>
    <w:p w:rsidR="006A1CDC" w:rsidRPr="00286E49" w:rsidRDefault="006A1CDC" w:rsidP="0031016C">
      <w:pPr>
        <w:numPr>
          <w:ilvl w:val="0"/>
          <w:numId w:val="27"/>
        </w:numPr>
        <w:jc w:val="both"/>
        <w:rPr>
          <w:b/>
          <w:bCs/>
        </w:rPr>
      </w:pPr>
      <w:r w:rsidRPr="00286E49">
        <w:rPr>
          <w:b/>
          <w:bCs/>
        </w:rPr>
        <w:t>Część II</w:t>
      </w:r>
    </w:p>
    <w:p w:rsidR="006A1CDC" w:rsidRPr="00286E49" w:rsidRDefault="006A1CDC" w:rsidP="002868B4">
      <w:pPr>
        <w:jc w:val="both"/>
        <w:rPr>
          <w:b/>
          <w:bCs/>
        </w:rPr>
      </w:pPr>
      <w:r w:rsidRPr="00286E49">
        <w:rPr>
          <w:b/>
          <w:bCs/>
        </w:rPr>
        <w:t>Dostawa 3 sztuk autobusów o długości ok. 8 metrów zwanych dalej autobusami „MINI -ośmiometrowymi”.</w:t>
      </w:r>
    </w:p>
    <w:p w:rsidR="006A1CDC" w:rsidRPr="00286E49" w:rsidRDefault="006A1CDC" w:rsidP="00F14588">
      <w:pPr>
        <w:jc w:val="both"/>
        <w:rPr>
          <w:b/>
          <w:bCs/>
        </w:rPr>
      </w:pPr>
      <w:r w:rsidRPr="00286E49">
        <w:rPr>
          <w:b/>
          <w:bCs/>
        </w:rPr>
        <w:t>Autobusy „MINI -ośmiometrowe”</w:t>
      </w:r>
    </w:p>
    <w:p w:rsidR="006A1CDC" w:rsidRPr="00286E49" w:rsidRDefault="006A1CDC" w:rsidP="002868B4">
      <w:pPr>
        <w:jc w:val="both"/>
      </w:pPr>
      <w:r w:rsidRPr="00286E49">
        <w:t>Podstawowa charakterystyka pojazdów:</w:t>
      </w:r>
    </w:p>
    <w:p w:rsidR="006A1CDC" w:rsidRPr="00286E49" w:rsidRDefault="006A1CDC" w:rsidP="00F14588">
      <w:pPr>
        <w:jc w:val="both"/>
      </w:pPr>
      <w:r w:rsidRPr="00286E49">
        <w:t>Długość całkowita: od 7000 do 8350  mm.</w:t>
      </w:r>
    </w:p>
    <w:p w:rsidR="006A1CDC" w:rsidRPr="00286E49" w:rsidRDefault="006A1CDC" w:rsidP="00F14588">
      <w:pPr>
        <w:jc w:val="both"/>
      </w:pPr>
      <w:r w:rsidRPr="00286E49">
        <w:t>Szerokość zgodnie z warunkami dopuszczenia do ruchu.</w:t>
      </w:r>
    </w:p>
    <w:p w:rsidR="006A1CDC" w:rsidRPr="00286E49" w:rsidRDefault="006A1CDC" w:rsidP="00F14588">
      <w:pPr>
        <w:jc w:val="both"/>
      </w:pPr>
      <w:r w:rsidRPr="00286E49">
        <w:t>Wysokość zgodnie z warunkami dopuszczenia do ruchu.</w:t>
      </w:r>
    </w:p>
    <w:p w:rsidR="006A1CDC" w:rsidRPr="00286E49" w:rsidRDefault="006A1CDC" w:rsidP="00F14588">
      <w:pPr>
        <w:jc w:val="both"/>
      </w:pPr>
      <w:r w:rsidRPr="00286E49">
        <w:t xml:space="preserve">Liczba miejsc ogółem  (siedzące  plus stojące) min. 34 plus miejsce na wózek inwalidzki. </w:t>
      </w:r>
    </w:p>
    <w:p w:rsidR="006A1CDC" w:rsidRPr="00286E49" w:rsidRDefault="006A1CDC" w:rsidP="00F14588">
      <w:pPr>
        <w:jc w:val="both"/>
      </w:pPr>
      <w:r w:rsidRPr="00286E49">
        <w:t>Ilość miejsc pasażerskich siedzących  min. 14 (bez siedzeń składanych).</w:t>
      </w:r>
    </w:p>
    <w:p w:rsidR="006A1CDC" w:rsidRPr="00286E49" w:rsidRDefault="006A1CDC" w:rsidP="00F14588">
      <w:pPr>
        <w:jc w:val="both"/>
      </w:pPr>
      <w:r w:rsidRPr="00286E49">
        <w:t>Silnik Diesla o pojemności nie większej niż 3,0 dm</w:t>
      </w:r>
      <w:r w:rsidRPr="00286E49">
        <w:rPr>
          <w:vertAlign w:val="superscript"/>
        </w:rPr>
        <w:t>3</w:t>
      </w:r>
      <w:r w:rsidRPr="00286E49">
        <w:t xml:space="preserve"> z chłodzeniem powietrza doładowanego, spełniającego normę Euro 6.</w:t>
      </w:r>
    </w:p>
    <w:p w:rsidR="006A1CDC" w:rsidRPr="00286E49" w:rsidRDefault="006A1CDC" w:rsidP="00F14588">
      <w:pPr>
        <w:jc w:val="both"/>
      </w:pPr>
      <w:r w:rsidRPr="00286E49">
        <w:t>Moc silnika - min. 125 kW,  moment obrotowy – min. 400 Nm.</w:t>
      </w:r>
    </w:p>
    <w:p w:rsidR="006A1CDC" w:rsidRPr="00286E49" w:rsidRDefault="006A1CDC" w:rsidP="00F14588">
      <w:pPr>
        <w:jc w:val="both"/>
      </w:pPr>
      <w:r w:rsidRPr="00286E49">
        <w:t xml:space="preserve">Silnik spalinowy musi być przystosowany do paliwa zawierającego biokomponenty </w:t>
      </w:r>
      <w:r w:rsidRPr="00286E49">
        <w:br/>
        <w:t>w ilościach maksymalnych przewidzianych przez obowiązujące normy i przepisy (PN EN590: 2013, Rozporządzenie Ministra Gospodarki z dnia 9 października 2015 r. w sprawie wymagań jakościowych dla paliw ciekłych Dz. U. 2015 poz. 1680).</w:t>
      </w:r>
    </w:p>
    <w:p w:rsidR="006A1CDC" w:rsidRPr="00286E49" w:rsidRDefault="006A1CDC" w:rsidP="00F14588">
      <w:pPr>
        <w:jc w:val="both"/>
      </w:pPr>
      <w:r w:rsidRPr="00286E49">
        <w:t>Poziom emisji spalin (wg testu WHTC lub równoważnego), nie większy niż:</w:t>
      </w:r>
    </w:p>
    <w:p w:rsidR="006A1CDC" w:rsidRPr="00286E49" w:rsidRDefault="006A1CDC" w:rsidP="00F14588">
      <w:pPr>
        <w:jc w:val="both"/>
      </w:pPr>
      <w:r w:rsidRPr="00286E49">
        <w:t xml:space="preserve">- emisja tlenku węgla CO </w:t>
      </w:r>
      <w:r w:rsidRPr="00286E49">
        <w:tab/>
      </w:r>
      <w:r w:rsidRPr="00286E49">
        <w:tab/>
        <w:t>– 4,0 g/kWh,</w:t>
      </w:r>
    </w:p>
    <w:p w:rsidR="006A1CDC" w:rsidRPr="00286E49" w:rsidRDefault="006A1CDC" w:rsidP="00F14588">
      <w:pPr>
        <w:jc w:val="both"/>
      </w:pPr>
      <w:r w:rsidRPr="00286E49">
        <w:t xml:space="preserve">- emisja węglowodorów THC </w:t>
      </w:r>
      <w:r w:rsidRPr="00286E49">
        <w:tab/>
        <w:t>– 0,16 g/kWh,</w:t>
      </w:r>
    </w:p>
    <w:p w:rsidR="006A1CDC" w:rsidRPr="00286E49" w:rsidRDefault="006A1CDC" w:rsidP="009C02E4">
      <w:r w:rsidRPr="00286E49">
        <w:t xml:space="preserve">- emisja tlenków azotu NOx </w:t>
      </w:r>
      <w:r w:rsidRPr="00286E49">
        <w:tab/>
      </w:r>
      <w:r w:rsidRPr="00286E49">
        <w:tab/>
        <w:t>– 0,46 g/kWh,</w:t>
      </w:r>
    </w:p>
    <w:p w:rsidR="006A1CDC" w:rsidRPr="00286E49" w:rsidRDefault="006A1CDC" w:rsidP="009C02E4">
      <w:r w:rsidRPr="00286E49">
        <w:t xml:space="preserve">- emisja cząstek stałych PM  </w:t>
      </w:r>
      <w:r w:rsidRPr="00286E49">
        <w:tab/>
        <w:t>– 0,01 g/kWh.</w:t>
      </w:r>
    </w:p>
    <w:p w:rsidR="006A1CDC" w:rsidRPr="00286E49" w:rsidRDefault="006A1CDC" w:rsidP="00F14588">
      <w:pPr>
        <w:jc w:val="both"/>
      </w:pPr>
      <w:r w:rsidRPr="00286E49">
        <w:t>Maksymalne zużycia oleju napędowego na podstawie testu SORT-2 nie większe niż 20 litrów/100 km.</w:t>
      </w:r>
    </w:p>
    <w:p w:rsidR="006A1CDC" w:rsidRPr="00286E49" w:rsidRDefault="006A1CDC" w:rsidP="00F14588">
      <w:pPr>
        <w:jc w:val="both"/>
      </w:pPr>
      <w:r w:rsidRPr="00286E49">
        <w:t>Autobusy muszą być pojazdami fabrycznie nowymi (wg definicji z Ustawy Prawo o ruchu drogowym z 20 czerwca 1997 r. – tekst jednolity Dz. U. z 2012r. poz. 1137 z późn. zmianami). Zamawiający wymaga, aby wszystkie elementy konstrukcyjne, części, elementy wyposażenia, elementy każdego z systemów, a także dostarczany wraz z autobusami sprzęt, urządzenia i narzędzia były fabrycznie nowe.</w:t>
      </w:r>
    </w:p>
    <w:p w:rsidR="006A1CDC" w:rsidRPr="00286E49" w:rsidRDefault="006A1CDC" w:rsidP="00F14588">
      <w:pPr>
        <w:jc w:val="both"/>
      </w:pPr>
      <w:r w:rsidRPr="00286E49">
        <w:t>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2015 r. poz. 305 z późn. zmianami) wymaganych dla dopuszczenia do ruchu bez żadnych odstępstw.</w:t>
      </w:r>
    </w:p>
    <w:p w:rsidR="006A1CDC" w:rsidRPr="00286E49" w:rsidRDefault="006A1CDC" w:rsidP="0031016C">
      <w:pPr>
        <w:numPr>
          <w:ilvl w:val="0"/>
          <w:numId w:val="27"/>
        </w:numPr>
        <w:jc w:val="both"/>
      </w:pPr>
      <w:r w:rsidRPr="00286E49">
        <w:t>Zamawiający wymaga, w odniesieniu do obu części, aby Wykonawca:</w:t>
      </w:r>
    </w:p>
    <w:p w:rsidR="006A1CDC" w:rsidRPr="00286E49" w:rsidRDefault="006A1CDC" w:rsidP="00F14588">
      <w:pPr>
        <w:jc w:val="both"/>
      </w:pPr>
      <w:r w:rsidRPr="00286E49">
        <w:t>Udzielił Zamawiającemu/Użytkownikowi autoryzacji w zakresie umożliwiającym wykonanie prac obsługowo-naprawczych w zakresie gwarancyjnym.</w:t>
      </w:r>
    </w:p>
    <w:p w:rsidR="006A1CDC" w:rsidRPr="00286E49" w:rsidRDefault="006A1CDC" w:rsidP="00F14588">
      <w:pPr>
        <w:jc w:val="both"/>
      </w:pPr>
      <w:r w:rsidRPr="00286E49">
        <w:t xml:space="preserve">Dostarczył wraz z autobusami na własny koszt zestaw przyrządów diagnostycznych wraz </w:t>
      </w:r>
      <w:r w:rsidRPr="00286E49">
        <w:br/>
        <w:t xml:space="preserve">z instrukcjami, z oprogramowaniami i licencjami, jeżeli są konieczne. </w:t>
      </w:r>
    </w:p>
    <w:p w:rsidR="006A1CDC" w:rsidRPr="00286E49" w:rsidRDefault="006A1CDC" w:rsidP="00F14588">
      <w:pPr>
        <w:jc w:val="both"/>
      </w:pPr>
      <w:r w:rsidRPr="00286E49">
        <w:t>Przeszkolił kierowców, pracowników zaplecza technicznego oraz służb informatycznych Zamawiającego / Użytkownika.</w:t>
      </w:r>
    </w:p>
    <w:p w:rsidR="006A1CDC" w:rsidRPr="00286E49" w:rsidRDefault="006A1CDC" w:rsidP="00F14588">
      <w:pPr>
        <w:jc w:val="both"/>
      </w:pPr>
      <w:r w:rsidRPr="00286E49">
        <w:t>Dostarczył pełną dokumentację techniczną dostarczonych autobusów.</w:t>
      </w:r>
    </w:p>
    <w:p w:rsidR="006A1CDC" w:rsidRPr="00286E49" w:rsidRDefault="006A1CDC" w:rsidP="00F14588">
      <w:pPr>
        <w:jc w:val="both"/>
      </w:pPr>
      <w:r w:rsidRPr="00286E49">
        <w:t xml:space="preserve">Udzielił gwarancji na dostarczone autobusy </w:t>
      </w:r>
      <w:r w:rsidRPr="00286E49">
        <w:rPr>
          <w:u w:val="single"/>
        </w:rPr>
        <w:t>minimum</w:t>
      </w:r>
      <w:r w:rsidRPr="00286E49">
        <w:t>:</w:t>
      </w:r>
    </w:p>
    <w:p w:rsidR="006A1CDC" w:rsidRPr="00286E49" w:rsidRDefault="006A1CDC" w:rsidP="00F14588">
      <w:pPr>
        <w:jc w:val="both"/>
      </w:pPr>
      <w:r w:rsidRPr="00286E49">
        <w:t>na cały pojazd bez limitu kilometrów na okres 3 lat (dla MINI) 5 lat (dla MAXI)</w:t>
      </w:r>
    </w:p>
    <w:p w:rsidR="006A1CDC" w:rsidRPr="00286E49" w:rsidRDefault="006A1CDC" w:rsidP="00F14588">
      <w:pPr>
        <w:jc w:val="both"/>
      </w:pPr>
      <w:r w:rsidRPr="00286E49">
        <w:t>na powłoki lakiernicze 5 lat,</w:t>
      </w:r>
    </w:p>
    <w:p w:rsidR="006A1CDC" w:rsidRPr="00286E49" w:rsidRDefault="006A1CDC" w:rsidP="00F14588">
      <w:pPr>
        <w:jc w:val="both"/>
      </w:pPr>
      <w:r w:rsidRPr="00286E49">
        <w:t>na trwałość konstrukcji i poszycie tj. pękanie szkieletu ramy / kratownicy, blach poszycia na okres 10 lat, na występowanie korozji poszyć zewnętrznych oraz szkieletu nadwozia i podwozia (kratownicy, ramy) bez konieczności wykonania dodatkowych konserwacji w trakcie eksploatacji na okres 10 lat,</w:t>
      </w:r>
    </w:p>
    <w:p w:rsidR="006A1CDC" w:rsidRPr="00286E49" w:rsidRDefault="006A1CDC" w:rsidP="00F14588">
      <w:pPr>
        <w:jc w:val="both"/>
      </w:pPr>
      <w:r w:rsidRPr="00286E49">
        <w:t xml:space="preserve">na możliwość zakupu wszystkich części zamiennych (jego konstrukcji, zespołów </w:t>
      </w:r>
      <w:r w:rsidRPr="00286E49">
        <w:br/>
        <w:t>i podzespołów, urządzeń etc.) na okres 15 lat.</w:t>
      </w:r>
    </w:p>
    <w:p w:rsidR="006A1CDC" w:rsidRPr="00286E49" w:rsidRDefault="006A1CDC" w:rsidP="00F14588">
      <w:pPr>
        <w:jc w:val="both"/>
      </w:pPr>
    </w:p>
    <w:p w:rsidR="006A1CDC" w:rsidRPr="00286E49" w:rsidRDefault="006A1CDC" w:rsidP="0031016C">
      <w:pPr>
        <w:numPr>
          <w:ilvl w:val="0"/>
          <w:numId w:val="27"/>
        </w:numPr>
        <w:jc w:val="both"/>
      </w:pPr>
      <w:r w:rsidRPr="00286E49">
        <w:t>Szczegółowe zasady i uwarunkowania realizacji obowiązków Zamawiającego wymienionych w punktach powyżej zostaną określone w dalszej części SIWZ</w:t>
      </w:r>
    </w:p>
    <w:p w:rsidR="006A1CDC" w:rsidRPr="00286E49" w:rsidRDefault="006A1CDC" w:rsidP="00F14588">
      <w:pPr>
        <w:jc w:val="both"/>
      </w:pPr>
    </w:p>
    <w:p w:rsidR="006A1CDC" w:rsidRPr="00286E49" w:rsidRDefault="006A1CDC" w:rsidP="00F14588">
      <w:pPr>
        <w:jc w:val="both"/>
      </w:pPr>
      <w:r w:rsidRPr="00286E49">
        <w:t>Szczegółowy opis zamówienia uwzględniający wszelkie wymogi Zamawiającego w zakresie parametrów technicznych określony jest  w części III specyfikacji istotnych warunków zamówienia stanowiący jej integralną część.</w:t>
      </w:r>
    </w:p>
    <w:p w:rsidR="006A1CDC" w:rsidRPr="00286E49" w:rsidRDefault="006A1CDC" w:rsidP="00F14588">
      <w:pPr>
        <w:jc w:val="both"/>
      </w:pPr>
    </w:p>
    <w:p w:rsidR="006A1CDC" w:rsidRPr="00286E49" w:rsidRDefault="006A1CDC" w:rsidP="004D55D2">
      <w:pPr>
        <w:jc w:val="both"/>
        <w:rPr>
          <w:b/>
          <w:bCs/>
        </w:rPr>
      </w:pPr>
    </w:p>
    <w:p w:rsidR="006A1CDC" w:rsidRPr="00286E49" w:rsidRDefault="006A1CDC" w:rsidP="004D55D2">
      <w:pPr>
        <w:jc w:val="both"/>
        <w:rPr>
          <w:b/>
          <w:bCs/>
        </w:rPr>
      </w:pPr>
    </w:p>
    <w:p w:rsidR="006A1CDC" w:rsidRPr="00286E49" w:rsidRDefault="006A1CDC" w:rsidP="004D55D2">
      <w:pPr>
        <w:jc w:val="both"/>
        <w:rPr>
          <w:b/>
          <w:bCs/>
        </w:rPr>
      </w:pPr>
      <w:r w:rsidRPr="00286E49">
        <w:rPr>
          <w:b/>
          <w:bCs/>
        </w:rPr>
        <w:t xml:space="preserve">Rozdział 5 A </w:t>
      </w:r>
    </w:p>
    <w:p w:rsidR="006A1CDC" w:rsidRPr="00286E49" w:rsidRDefault="006A1CDC" w:rsidP="004D55D2">
      <w:pPr>
        <w:jc w:val="both"/>
        <w:rPr>
          <w:b/>
          <w:bCs/>
        </w:rPr>
      </w:pPr>
      <w:r w:rsidRPr="00286E49">
        <w:rPr>
          <w:b/>
          <w:bCs/>
        </w:rPr>
        <w:t xml:space="preserve">określenie w opisie przedmiotu zamówienia wymagań dotyczących zatrudnienia przez Wykonawcę lub podwykonawcę  na podstawie umowy o pracę osób wykonujących wskazane przez zamawiającego </w:t>
      </w:r>
      <w:r w:rsidRPr="00286E49">
        <w:rPr>
          <w:b/>
          <w:bCs/>
        </w:rPr>
        <w:tab/>
        <w:t>czynności w zakresie realizacji zamówienia, jeżeli wykonanie tych czynności polega na wykonywaniu pracy  w sposób określony w art. 22 § 1 ustawy z dnia  26 czerwca 1974 r. – Kodeks pracy (Dz. U. z 2014 r. poz. 1502, z późn. zm.).</w:t>
      </w:r>
    </w:p>
    <w:p w:rsidR="006A1CDC" w:rsidRPr="00286E49" w:rsidRDefault="006A1CDC" w:rsidP="009C02E4"/>
    <w:p w:rsidR="006A1CDC" w:rsidRPr="00286E49" w:rsidRDefault="006A1CDC" w:rsidP="00F14588">
      <w:pPr>
        <w:jc w:val="both"/>
      </w:pPr>
      <w:r w:rsidRPr="00286E49">
        <w:t xml:space="preserve">Zamawiający z uwagi na charakter zamówienia nie określa w opisie przedmiotu zamówienia  wymagań zatrudnienia przez wykonawcę lub podwykonawcę na podstawie umowy o pracę osób wykonujących wskazane przez zamawiającego czynności w zakresie realizacji zamówienia, jeżeli wykonanie tych czynności polegać by miały na wykonywaniu pracy w sposób określony w art. 22 § 1 ustawy z dnia 26 czerwca  1974 r. – Kodeks pracy  (Dz. U. </w:t>
      </w:r>
      <w:r w:rsidRPr="00286E49">
        <w:br/>
        <w:t>z 2014 r. poz. 1502, z późn. zm.).</w:t>
      </w:r>
    </w:p>
    <w:p w:rsidR="006A1CDC" w:rsidRPr="00286E49" w:rsidRDefault="006A1CDC" w:rsidP="009C02E4"/>
    <w:p w:rsidR="006A1CDC" w:rsidRPr="00286E49" w:rsidRDefault="006A1CDC" w:rsidP="009C02E4">
      <w:pPr>
        <w:rPr>
          <w:b/>
          <w:bCs/>
        </w:rPr>
      </w:pPr>
      <w:r w:rsidRPr="00286E49">
        <w:rPr>
          <w:b/>
          <w:bCs/>
        </w:rPr>
        <w:t>Rozdział 6</w:t>
      </w:r>
    </w:p>
    <w:p w:rsidR="006A1CDC" w:rsidRPr="00286E49" w:rsidRDefault="006A1CDC" w:rsidP="009C02E4">
      <w:pPr>
        <w:rPr>
          <w:b/>
          <w:bCs/>
        </w:rPr>
      </w:pPr>
      <w:r w:rsidRPr="00286E49">
        <w:rPr>
          <w:b/>
          <w:bCs/>
        </w:rPr>
        <w:t>Termin i warunki realizacji zamówienia</w:t>
      </w:r>
    </w:p>
    <w:p w:rsidR="006A1CDC" w:rsidRPr="00286E49" w:rsidRDefault="006A1CDC" w:rsidP="009C02E4"/>
    <w:p w:rsidR="006A1CDC" w:rsidRPr="00286E49" w:rsidRDefault="006A1CDC" w:rsidP="00B26220">
      <w:pPr>
        <w:numPr>
          <w:ilvl w:val="0"/>
          <w:numId w:val="5"/>
        </w:numPr>
        <w:jc w:val="both"/>
      </w:pPr>
      <w:r w:rsidRPr="00286E49">
        <w:t>Dostawa wszystkich 8 sztuk fabrycznie nowych niskopodłogowych niskoemisyjnych autobusów musi być zrealizowana  terminie</w:t>
      </w:r>
    </w:p>
    <w:p w:rsidR="006A1CDC" w:rsidRPr="00286E49" w:rsidRDefault="006A1CDC" w:rsidP="00A152D5">
      <w:pPr>
        <w:ind w:left="360"/>
        <w:jc w:val="both"/>
      </w:pPr>
      <w:r w:rsidRPr="00286E49">
        <w:tab/>
        <w:t xml:space="preserve">Część I </w:t>
      </w:r>
      <w:r w:rsidRPr="00286E49">
        <w:tab/>
        <w:t>9 m-cy od dnia podpisania umowy</w:t>
      </w:r>
    </w:p>
    <w:p w:rsidR="006A1CDC" w:rsidRPr="00286E49" w:rsidRDefault="006A1CDC" w:rsidP="00A152D5">
      <w:pPr>
        <w:ind w:left="360"/>
        <w:jc w:val="both"/>
      </w:pPr>
      <w:r w:rsidRPr="00286E49">
        <w:tab/>
        <w:t xml:space="preserve">Część II </w:t>
      </w:r>
      <w:r w:rsidRPr="00286E49">
        <w:tab/>
        <w:t xml:space="preserve">6 m-cy od dnia podpisania umowy  </w:t>
      </w:r>
    </w:p>
    <w:p w:rsidR="006A1CDC" w:rsidRPr="00286E49" w:rsidRDefault="006A1CDC" w:rsidP="00F14588">
      <w:pPr>
        <w:numPr>
          <w:ilvl w:val="0"/>
          <w:numId w:val="5"/>
        </w:numPr>
        <w:jc w:val="both"/>
      </w:pPr>
      <w:r w:rsidRPr="00286E49">
        <w:t>Szczegółowo warunki realizacji zamówienia zostały określone we wzorze umowy stanowiącym integralną część specyfikacji.</w:t>
      </w:r>
    </w:p>
    <w:p w:rsidR="006A1CDC" w:rsidRPr="00286E49" w:rsidRDefault="006A1CDC" w:rsidP="00F14588">
      <w:pPr>
        <w:numPr>
          <w:ilvl w:val="0"/>
          <w:numId w:val="5"/>
        </w:numPr>
        <w:jc w:val="both"/>
      </w:pPr>
      <w:r w:rsidRPr="00286E49">
        <w:t>Odbiór końcowy każdego autobusu odbywa się u operatora Zamawiającego jakim jest Miejski Zakład Komunikacji  w Chojnicach przy ulicy Angowickiej 53.</w:t>
      </w:r>
    </w:p>
    <w:p w:rsidR="006A1CDC" w:rsidRPr="00286E49" w:rsidRDefault="006A1CDC" w:rsidP="00F14588">
      <w:pPr>
        <w:numPr>
          <w:ilvl w:val="0"/>
          <w:numId w:val="5"/>
        </w:numPr>
        <w:jc w:val="both"/>
      </w:pPr>
      <w:r w:rsidRPr="00286E49">
        <w:t xml:space="preserve"> O dokładnej dacie odbioru końcowego Wykonawca zawiadomi Zamawiającego pisemnie lub faksem  na minimum 3 dni przed terminem dostawy partii autobusów.</w:t>
      </w:r>
    </w:p>
    <w:p w:rsidR="006A1CDC" w:rsidRPr="00286E49" w:rsidRDefault="006A1CDC" w:rsidP="00F14588">
      <w:pPr>
        <w:numPr>
          <w:ilvl w:val="0"/>
          <w:numId w:val="5"/>
        </w:numPr>
        <w:jc w:val="both"/>
      </w:pPr>
      <w:r w:rsidRPr="00286E49">
        <w:t>Przedmiot zamówienia może być dostarczany operatorowi Zamawiającego do odbioru tylko w dni robocze tj. od poniedziałku do piątku z wyłączeniem dni ustawowo wolnych od pracy.</w:t>
      </w:r>
    </w:p>
    <w:p w:rsidR="006A1CDC" w:rsidRPr="00286E49" w:rsidRDefault="006A1CDC" w:rsidP="00F14588">
      <w:pPr>
        <w:numPr>
          <w:ilvl w:val="0"/>
          <w:numId w:val="5"/>
        </w:numPr>
        <w:jc w:val="both"/>
      </w:pPr>
      <w:r w:rsidRPr="00286E49">
        <w:t>Transport pojazdów do miejsca odbioru końcowego zapewnia Wykonawca na swój koszt i ryzyko.</w:t>
      </w:r>
    </w:p>
    <w:p w:rsidR="006A1CDC" w:rsidRPr="00286E49" w:rsidRDefault="006A1CDC" w:rsidP="00B26220">
      <w:pPr>
        <w:numPr>
          <w:ilvl w:val="0"/>
          <w:numId w:val="5"/>
        </w:numPr>
        <w:jc w:val="both"/>
      </w:pPr>
      <w:r w:rsidRPr="00286E49">
        <w:t>Szczegółowy opis w zakresie warunków realizacji zamówienia określa wzór umowy jako integralna cześć SIWZ.</w:t>
      </w:r>
    </w:p>
    <w:p w:rsidR="006A1CDC" w:rsidRPr="00286E49" w:rsidRDefault="006A1CDC" w:rsidP="009C02E4"/>
    <w:p w:rsidR="006A1CDC" w:rsidRPr="00286E49" w:rsidRDefault="006A1CDC" w:rsidP="009C02E4">
      <w:pPr>
        <w:rPr>
          <w:b/>
          <w:bCs/>
        </w:rPr>
      </w:pPr>
      <w:r w:rsidRPr="00286E49">
        <w:rPr>
          <w:b/>
          <w:bCs/>
        </w:rPr>
        <w:t>Rozdział 7</w:t>
      </w:r>
    </w:p>
    <w:p w:rsidR="006A1CDC" w:rsidRPr="00286E49" w:rsidRDefault="006A1CDC" w:rsidP="009C02E4">
      <w:pPr>
        <w:rPr>
          <w:b/>
          <w:bCs/>
        </w:rPr>
      </w:pPr>
      <w:r w:rsidRPr="00286E49">
        <w:rPr>
          <w:b/>
          <w:bCs/>
        </w:rPr>
        <w:t>Sposób rozliczeń, opis sposobu obliczenia ceny</w:t>
      </w:r>
    </w:p>
    <w:p w:rsidR="006A1CDC" w:rsidRPr="00286E49" w:rsidRDefault="006A1CDC" w:rsidP="009C02E4"/>
    <w:p w:rsidR="006A1CDC" w:rsidRPr="00286E49" w:rsidRDefault="006A1CDC" w:rsidP="00B26220">
      <w:pPr>
        <w:numPr>
          <w:ilvl w:val="0"/>
          <w:numId w:val="6"/>
        </w:numPr>
        <w:jc w:val="both"/>
      </w:pPr>
      <w:r w:rsidRPr="00286E49">
        <w:t>Zapłata za realizacje przedmiotu umowy nastąpi przelewem na wskazany w umowie rachunek bankowy Wykonawcy w terminie do 30 dni od daty doręczenia Zamawiającemu wystawionej prawidłowo i zgodnie z umową faktury.</w:t>
      </w:r>
    </w:p>
    <w:p w:rsidR="006A1CDC" w:rsidRPr="00286E49" w:rsidRDefault="006A1CDC" w:rsidP="00F14588">
      <w:pPr>
        <w:numPr>
          <w:ilvl w:val="0"/>
          <w:numId w:val="6"/>
        </w:numPr>
        <w:jc w:val="both"/>
      </w:pPr>
      <w:r w:rsidRPr="00286E49">
        <w:t>Dniem płatności jest dzień wydania przez zamawiającego polecenia zapłaty do banku, w którym prowadzony jest rachunek zamawiającego.</w:t>
      </w:r>
    </w:p>
    <w:p w:rsidR="006A1CDC" w:rsidRPr="00286E49" w:rsidRDefault="006A1CDC" w:rsidP="00F14588">
      <w:pPr>
        <w:numPr>
          <w:ilvl w:val="0"/>
          <w:numId w:val="6"/>
        </w:numPr>
        <w:jc w:val="both"/>
      </w:pPr>
      <w:r w:rsidRPr="00286E49">
        <w:t>Podana w ofercie cena muszą uwzględniać wymagania niniejszej specyfikacji istotnych warunków zamówienia, a także obejmować wszelkie koszty, jakie poniesie Wykonawca z tytułu należytej oraz zgodnej z obowiązującymi przepisami realizacji przedmiotu zamówienia.</w:t>
      </w:r>
    </w:p>
    <w:p w:rsidR="006A1CDC" w:rsidRPr="00286E49" w:rsidRDefault="006A1CDC" w:rsidP="00F14588">
      <w:pPr>
        <w:numPr>
          <w:ilvl w:val="0"/>
          <w:numId w:val="6"/>
        </w:numPr>
        <w:jc w:val="both"/>
      </w:pPr>
      <w:r w:rsidRPr="00286E49">
        <w:t>Wykonawca ponosi wszelkie ryzyko związane z określeniem ceny oferty.</w:t>
      </w:r>
    </w:p>
    <w:p w:rsidR="006A1CDC" w:rsidRPr="00286E49" w:rsidRDefault="006A1CDC" w:rsidP="00F20E4B">
      <w:pPr>
        <w:numPr>
          <w:ilvl w:val="0"/>
          <w:numId w:val="6"/>
        </w:numPr>
        <w:jc w:val="both"/>
      </w:pPr>
      <w:r w:rsidRPr="00286E49">
        <w:t xml:space="preserve">Upusty i wszelkiego rodzaju rabaty udzielane przez Wykonawcę muszą być ujęte </w:t>
      </w:r>
      <w:r w:rsidRPr="00286E49">
        <w:br/>
        <w:t>w oferowanej cenie.</w:t>
      </w:r>
    </w:p>
    <w:p w:rsidR="006A1CDC" w:rsidRPr="00286E49" w:rsidRDefault="006A1CDC" w:rsidP="00F20E4B">
      <w:pPr>
        <w:numPr>
          <w:ilvl w:val="0"/>
          <w:numId w:val="6"/>
        </w:numPr>
        <w:jc w:val="both"/>
      </w:pPr>
      <w:r w:rsidRPr="00286E49">
        <w:t>Zamawiający stosownie do treści art. 87 ustawy Prawo zamówień publicznych, poprawi omyłki rachunkowe  w obliczeniu ceny.</w:t>
      </w:r>
    </w:p>
    <w:p w:rsidR="006A1CDC" w:rsidRPr="00286E49" w:rsidRDefault="006A1CDC" w:rsidP="00F20E4B">
      <w:pPr>
        <w:numPr>
          <w:ilvl w:val="0"/>
          <w:numId w:val="6"/>
        </w:numPr>
        <w:jc w:val="both"/>
      </w:pPr>
      <w:r w:rsidRPr="00286E49">
        <w:t>Jeżeli złożono ofertę, której wybór prowadziłby do powstania u zamawiającego obowiązku podatkowego zgodnie przepisami o podatku od towarów i usług, zamawiający w celu oceny takiej oferty doliczy do przedstawionej w niej ceny podatek od towarów i usług, który miałby obowiązek rozliczyć zgodnie z tymi przepisami.</w:t>
      </w:r>
    </w:p>
    <w:p w:rsidR="006A1CDC" w:rsidRPr="00286E49" w:rsidRDefault="006A1CDC" w:rsidP="00F20E4B">
      <w:pPr>
        <w:numPr>
          <w:ilvl w:val="0"/>
          <w:numId w:val="6"/>
        </w:numPr>
        <w:jc w:val="both"/>
      </w:pPr>
      <w:r w:rsidRPr="00286E49">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A1CDC" w:rsidRPr="00286E49" w:rsidRDefault="006A1CDC" w:rsidP="00F20E4B">
      <w:pPr>
        <w:numPr>
          <w:ilvl w:val="0"/>
          <w:numId w:val="6"/>
        </w:numPr>
        <w:jc w:val="both"/>
      </w:pPr>
      <w:r w:rsidRPr="00286E49">
        <w:t>Szczegółowe warunki dotyczące zapłaty wynagrodzenia wykonawcy określa wzór umowy stanowiący integralną część specyfikacji.</w:t>
      </w:r>
    </w:p>
    <w:p w:rsidR="006A1CDC" w:rsidRPr="00286E49" w:rsidRDefault="006A1CDC" w:rsidP="00F20E4B">
      <w:pPr>
        <w:numPr>
          <w:ilvl w:val="0"/>
          <w:numId w:val="6"/>
        </w:numPr>
        <w:jc w:val="both"/>
      </w:pPr>
      <w:r w:rsidRPr="00286E49">
        <w:t>Ofertę cenową należy sporządzić zgodnie z wzorem podanym w formularzu oferty.</w:t>
      </w:r>
    </w:p>
    <w:p w:rsidR="006A1CDC" w:rsidRPr="00286E49" w:rsidRDefault="006A1CDC" w:rsidP="00F20E4B">
      <w:pPr>
        <w:numPr>
          <w:ilvl w:val="0"/>
          <w:numId w:val="6"/>
        </w:numPr>
        <w:jc w:val="both"/>
      </w:pPr>
      <w:r w:rsidRPr="00286E49">
        <w:t>W ofercie należy podać cenę za wykonanie całości przedmiotu zamówienia oraz cenę jednostkową brutto autobusu dla każdej części.</w:t>
      </w:r>
    </w:p>
    <w:p w:rsidR="006A1CDC" w:rsidRPr="00286E49" w:rsidRDefault="006A1CDC" w:rsidP="00F20E4B">
      <w:pPr>
        <w:numPr>
          <w:ilvl w:val="0"/>
          <w:numId w:val="6"/>
        </w:numPr>
        <w:jc w:val="both"/>
      </w:pPr>
      <w:r w:rsidRPr="00286E49">
        <w:t>Ceny należy podać w złotych polskich (PLN), z dokładnością nie większą niż do dwóch miejsc po przecinku.</w:t>
      </w:r>
    </w:p>
    <w:p w:rsidR="006A1CDC" w:rsidRPr="00286E49" w:rsidRDefault="006A1CDC" w:rsidP="00F20E4B">
      <w:pPr>
        <w:numPr>
          <w:ilvl w:val="0"/>
          <w:numId w:val="6"/>
        </w:numPr>
        <w:jc w:val="both"/>
      </w:pPr>
      <w:r w:rsidRPr="00286E49">
        <w:t>Cena jednostkowa 1 sztuki autobusu ma być jednakowa dla każdej sztuki w zakresie danej części zamówienia.</w:t>
      </w:r>
    </w:p>
    <w:p w:rsidR="006A1CDC" w:rsidRPr="00286E49" w:rsidRDefault="006A1CDC" w:rsidP="00F20E4B">
      <w:pPr>
        <w:jc w:val="both"/>
      </w:pPr>
    </w:p>
    <w:p w:rsidR="006A1CDC" w:rsidRPr="00286E49" w:rsidRDefault="006A1CDC" w:rsidP="00F20E4B">
      <w:pPr>
        <w:jc w:val="both"/>
        <w:rPr>
          <w:b/>
          <w:bCs/>
        </w:rPr>
      </w:pPr>
      <w:r w:rsidRPr="00286E49">
        <w:rPr>
          <w:b/>
          <w:bCs/>
        </w:rPr>
        <w:t>Rozdział 8</w:t>
      </w:r>
    </w:p>
    <w:p w:rsidR="006A1CDC" w:rsidRPr="00286E49" w:rsidRDefault="006A1CDC" w:rsidP="00F20E4B">
      <w:pPr>
        <w:jc w:val="both"/>
        <w:rPr>
          <w:b/>
          <w:bCs/>
        </w:rPr>
      </w:pPr>
      <w:r w:rsidRPr="00286E49">
        <w:rPr>
          <w:b/>
          <w:bCs/>
        </w:rPr>
        <w:t>Gwarancja – dotyczy części I  i części II zamówienia</w:t>
      </w:r>
    </w:p>
    <w:p w:rsidR="006A1CDC" w:rsidRPr="00286E49" w:rsidRDefault="006A1CDC" w:rsidP="009C02E4"/>
    <w:p w:rsidR="006A1CDC" w:rsidRPr="00286E49" w:rsidRDefault="006A1CDC" w:rsidP="00B57A6C">
      <w:pPr>
        <w:numPr>
          <w:ilvl w:val="0"/>
          <w:numId w:val="7"/>
        </w:numPr>
        <w:jc w:val="both"/>
      </w:pPr>
      <w:r w:rsidRPr="00286E49">
        <w:t>Wykonawca na przedmiot zamówienia zobowiązany jest udzielić zamawiającemu gwarancji opisanej poniżej:</w:t>
      </w:r>
    </w:p>
    <w:p w:rsidR="006A1CDC" w:rsidRPr="00286E49" w:rsidRDefault="006A1CDC" w:rsidP="00F20E4B">
      <w:pPr>
        <w:jc w:val="both"/>
      </w:pPr>
    </w:p>
    <w:p w:rsidR="006A1CDC" w:rsidRPr="00286E49" w:rsidRDefault="006A1CDC" w:rsidP="00B57A6C">
      <w:pPr>
        <w:numPr>
          <w:ilvl w:val="1"/>
          <w:numId w:val="7"/>
        </w:numPr>
        <w:jc w:val="both"/>
      </w:pPr>
      <w:r w:rsidRPr="00286E49">
        <w:t>Gwarancja na szkielet kratownicy nadwozia oraz kratownicę/ramę podwozia, trwałość konstrukcji nośnej, perforację nadwozia.</w:t>
      </w:r>
    </w:p>
    <w:p w:rsidR="006A1CDC" w:rsidRPr="00286E49" w:rsidRDefault="006A1CDC" w:rsidP="00F20E4B">
      <w:pPr>
        <w:numPr>
          <w:ilvl w:val="1"/>
          <w:numId w:val="7"/>
        </w:numPr>
        <w:jc w:val="both"/>
      </w:pPr>
      <w:r w:rsidRPr="00286E49">
        <w:t>minimalny okres gwarancji 10 lat,</w:t>
      </w:r>
    </w:p>
    <w:p w:rsidR="006A1CDC" w:rsidRPr="00286E49" w:rsidRDefault="006A1CDC" w:rsidP="00F20E4B">
      <w:pPr>
        <w:numPr>
          <w:ilvl w:val="1"/>
          <w:numId w:val="7"/>
        </w:numPr>
        <w:jc w:val="both"/>
      </w:pPr>
      <w:r w:rsidRPr="00286E49">
        <w:t>maksymalny okres gwarancji 12 lat.</w:t>
      </w:r>
    </w:p>
    <w:p w:rsidR="006A1CDC" w:rsidRPr="00286E49" w:rsidRDefault="006A1CDC" w:rsidP="00F20E4B">
      <w:pPr>
        <w:jc w:val="both"/>
      </w:pPr>
      <w:r w:rsidRPr="00286E49">
        <w:t>Zamawiający wymaga ażeby okres gwarancji nie był uzależniony od przebiegu kilometrów.</w:t>
      </w:r>
    </w:p>
    <w:p w:rsidR="006A1CDC" w:rsidRPr="00286E49" w:rsidRDefault="006A1CDC" w:rsidP="00F20E4B">
      <w:pPr>
        <w:jc w:val="both"/>
      </w:pPr>
    </w:p>
    <w:p w:rsidR="006A1CDC" w:rsidRPr="00286E49" w:rsidRDefault="006A1CDC" w:rsidP="00B57A6C">
      <w:pPr>
        <w:ind w:left="113"/>
        <w:jc w:val="both"/>
      </w:pPr>
      <w:r w:rsidRPr="00286E49">
        <w:t xml:space="preserve">          - Gwarancja na powłoki lakiernicze, uszczelnienia okien, drzwi.. </w:t>
      </w:r>
    </w:p>
    <w:p w:rsidR="006A1CDC" w:rsidRPr="00286E49" w:rsidRDefault="006A1CDC" w:rsidP="00F20E4B">
      <w:pPr>
        <w:jc w:val="both"/>
      </w:pPr>
      <w:r w:rsidRPr="00286E49">
        <w:tab/>
        <w:t>- minimalny okres gwarancji 5 lat,</w:t>
      </w:r>
    </w:p>
    <w:p w:rsidR="006A1CDC" w:rsidRPr="00286E49" w:rsidRDefault="006A1CDC" w:rsidP="00F20E4B">
      <w:pPr>
        <w:jc w:val="both"/>
      </w:pPr>
      <w:r w:rsidRPr="00286E49">
        <w:tab/>
        <w:t>- maksymalny okres gwarancji 7 lat.</w:t>
      </w:r>
    </w:p>
    <w:p w:rsidR="006A1CDC" w:rsidRPr="00286E49" w:rsidRDefault="006A1CDC" w:rsidP="00F20E4B">
      <w:pPr>
        <w:jc w:val="both"/>
      </w:pPr>
    </w:p>
    <w:p w:rsidR="006A1CDC" w:rsidRPr="00286E49" w:rsidRDefault="006A1CDC" w:rsidP="00F20E4B">
      <w:pPr>
        <w:jc w:val="both"/>
      </w:pPr>
      <w:r w:rsidRPr="00286E49">
        <w:t>Zamawiający wymaga ażeby okres gwarancji nie był uzależniony od przebiegu kilometrów.</w:t>
      </w:r>
    </w:p>
    <w:p w:rsidR="006A1CDC" w:rsidRPr="00286E49" w:rsidRDefault="006A1CDC" w:rsidP="00F20E4B">
      <w:pPr>
        <w:numPr>
          <w:ilvl w:val="0"/>
          <w:numId w:val="7"/>
        </w:numPr>
        <w:jc w:val="both"/>
      </w:pPr>
      <w:r w:rsidRPr="00286E49">
        <w:t>Gwarancja na zainstalowane w autobusach wyposażenie elektroniczne dot. m.in. systemów informacji pasażerskiej,  monitoringu, system zliczania pasażerów, autokomputera, kasowników oraz dostarczoną  w ramach powyższego wyposażenia autobusów pełną infrastrukturę zewnętrzną zainstalowaną w bazie u Operatora/Użytkownika  - 5 lat,</w:t>
      </w:r>
    </w:p>
    <w:p w:rsidR="006A1CDC" w:rsidRPr="00286E49" w:rsidRDefault="006A1CDC" w:rsidP="0095122A">
      <w:pPr>
        <w:numPr>
          <w:ilvl w:val="0"/>
          <w:numId w:val="7"/>
        </w:numPr>
        <w:jc w:val="both"/>
      </w:pPr>
      <w:r w:rsidRPr="00286E49">
        <w:t xml:space="preserve">Zamawiający informuje, ze okres gwarancji (na pozostałe zespoły, układy i elementy autobusu) liczony jest w latach, jak również uzależniony jest od przebiegu każdego autobusu, począwszy od pierwszego dnia następującego po dniu, w którym dokonano odbioru autobusu. W zależności od zadania: </w:t>
      </w:r>
    </w:p>
    <w:p w:rsidR="006A1CDC" w:rsidRPr="00286E49" w:rsidRDefault="006A1CDC" w:rsidP="0095122A">
      <w:pPr>
        <w:jc w:val="both"/>
      </w:pPr>
    </w:p>
    <w:p w:rsidR="006A1CDC" w:rsidRPr="00286E49" w:rsidRDefault="006A1CDC" w:rsidP="00B57A6C">
      <w:pPr>
        <w:numPr>
          <w:ilvl w:val="0"/>
          <w:numId w:val="8"/>
        </w:numPr>
        <w:jc w:val="both"/>
      </w:pPr>
      <w:r w:rsidRPr="00286E49">
        <w:rPr>
          <w:b/>
          <w:bCs/>
        </w:rPr>
        <w:t>Dotyczy Część I</w:t>
      </w:r>
      <w:r w:rsidRPr="00286E49">
        <w:t xml:space="preserve"> – minimum 5 lat z limitem  400 000 km przebiegu dla każdego autobusu,</w:t>
      </w:r>
      <w:r w:rsidRPr="00286E49">
        <w:br/>
        <w:t>(przy rocznym limicie 80 000 km) w zależności, który z warunków wcześniej zostanie spełniony. W przypadku wydłużenia gwarancji przez Wykonawcę, wskazany limit ulega proporcjonalnemu wydłużeniu (tj. 480 000 km przy 6 latach, 560 000 km przy 7 latach) -  (w zależności od zaproponowania w ofercie)</w:t>
      </w:r>
    </w:p>
    <w:p w:rsidR="006A1CDC" w:rsidRPr="00286E49" w:rsidRDefault="006A1CDC" w:rsidP="0095122A">
      <w:pPr>
        <w:numPr>
          <w:ilvl w:val="0"/>
          <w:numId w:val="8"/>
        </w:numPr>
        <w:jc w:val="both"/>
      </w:pPr>
      <w:r w:rsidRPr="00286E49">
        <w:rPr>
          <w:b/>
          <w:bCs/>
        </w:rPr>
        <w:t>Dotyczy Część II</w:t>
      </w:r>
      <w:r w:rsidRPr="00286E49">
        <w:t xml:space="preserve"> – minimum 3 lata z limitem  240 000 km przebiegu dla każdego autobusu (przy rocznym limicie 80 000 km), w zależności, który z warunków wcześniej zostanie spełniony. W przypadku wydłużenia gwarancji przez Wykonawcę, wskazany limit ulega proporcjonalnemu wydłużeniu (tj. 320 000 km przy 4 latach, 400 000 km przy 5 latach) -  (w zależności od zaproponowania w ofercie)</w:t>
      </w:r>
    </w:p>
    <w:p w:rsidR="006A1CDC" w:rsidRPr="00286E49" w:rsidRDefault="006A1CDC" w:rsidP="0095122A">
      <w:pPr>
        <w:numPr>
          <w:ilvl w:val="0"/>
          <w:numId w:val="7"/>
        </w:numPr>
        <w:jc w:val="both"/>
      </w:pPr>
      <w:r w:rsidRPr="00286E49">
        <w:t>Powyżej 2 roku eksploatacji gwarancja na cały autobus obejmuje spełnienie przez  Wykonawcę wszystkich warunków gwarancji opisanych w SIWZ za wyjątkiem pokrycia kosztów robocizny pracowników Zamawiającego, o ile prace wykonywane są u Zamawiającego. W przypadku napraw zewnętrznych – tj. dokonywanych bezpośrednio przez Wykonawcę, poza siedzibą Zamawiającego, wszelkie koszty z tym związane (w tym koszty robocizny) pozostają po stronie Wykonawcy przez cały okres gwarancji.</w:t>
      </w:r>
    </w:p>
    <w:p w:rsidR="006A1CDC" w:rsidRPr="00286E49" w:rsidRDefault="006A1CDC" w:rsidP="00F20E4B">
      <w:pPr>
        <w:numPr>
          <w:ilvl w:val="0"/>
          <w:numId w:val="7"/>
        </w:numPr>
        <w:jc w:val="both"/>
      </w:pPr>
      <w:r w:rsidRPr="00286E49">
        <w:t xml:space="preserve">Z uwagi na fakt, że gwarancja, o której mowa w ust. 1 i 3 rozdziału 8 SIWZ jest jednym z elementów kryteriów oceny ofert, Zamawiający informuje, że sposób punktacji za proponowany przez Wykonawcę okres gwarancji określony został w rozdziale 22 SIWZ. </w:t>
      </w:r>
    </w:p>
    <w:p w:rsidR="006A1CDC" w:rsidRPr="00286E49" w:rsidRDefault="006A1CDC" w:rsidP="009C02E4"/>
    <w:p w:rsidR="006A1CDC" w:rsidRPr="00286E49" w:rsidRDefault="006A1CDC" w:rsidP="009C02E4">
      <w:pPr>
        <w:rPr>
          <w:b/>
          <w:bCs/>
        </w:rPr>
      </w:pPr>
      <w:r w:rsidRPr="00286E49">
        <w:rPr>
          <w:b/>
          <w:bCs/>
        </w:rPr>
        <w:t>Rozdział 9</w:t>
      </w:r>
    </w:p>
    <w:p w:rsidR="006A1CDC" w:rsidRPr="00286E49" w:rsidRDefault="006A1CDC" w:rsidP="009C02E4">
      <w:pPr>
        <w:rPr>
          <w:b/>
          <w:bCs/>
        </w:rPr>
      </w:pPr>
      <w:r w:rsidRPr="00286E49">
        <w:rPr>
          <w:b/>
          <w:bCs/>
        </w:rPr>
        <w:t>Podwykonawstwo</w:t>
      </w:r>
    </w:p>
    <w:p w:rsidR="006A1CDC" w:rsidRPr="00286E49" w:rsidRDefault="006A1CDC" w:rsidP="009C02E4"/>
    <w:p w:rsidR="006A1CDC" w:rsidRPr="00286E49" w:rsidRDefault="006A1CDC" w:rsidP="0095122A">
      <w:pPr>
        <w:numPr>
          <w:ilvl w:val="0"/>
          <w:numId w:val="9"/>
        </w:numPr>
        <w:jc w:val="both"/>
      </w:pPr>
      <w:r w:rsidRPr="00286E49">
        <w:t>Wykonawca może powierzyć wykonanie części zamówienia podwykonawcy.</w:t>
      </w:r>
    </w:p>
    <w:p w:rsidR="006A1CDC" w:rsidRPr="00286E49" w:rsidRDefault="006A1CDC" w:rsidP="00F20E4B">
      <w:pPr>
        <w:numPr>
          <w:ilvl w:val="0"/>
          <w:numId w:val="9"/>
        </w:numPr>
        <w:jc w:val="both"/>
      </w:pPr>
      <w:r w:rsidRPr="00286E49">
        <w:t>Zamawiający żąda wskazania przez wykonawcę w ofercie części zamówienia, której wykonanie zamierza powierzyć podwykonawcy i podania przez wykonawcę firm podwykonawców.</w:t>
      </w:r>
    </w:p>
    <w:p w:rsidR="006A1CDC" w:rsidRPr="00286E49" w:rsidRDefault="006A1CDC" w:rsidP="00F20E4B">
      <w:pPr>
        <w:numPr>
          <w:ilvl w:val="0"/>
          <w:numId w:val="9"/>
        </w:numPr>
        <w:jc w:val="both"/>
      </w:pPr>
      <w:r w:rsidRPr="00286E49">
        <w:t>Wszelkie zmiany w zakresie podwykonawstwa będą możliwe po zawarciu umowy i na warunkach w niej określonych.</w:t>
      </w:r>
    </w:p>
    <w:p w:rsidR="006A1CDC" w:rsidRPr="00286E49" w:rsidRDefault="006A1CDC" w:rsidP="004201C2">
      <w:pPr>
        <w:numPr>
          <w:ilvl w:val="0"/>
          <w:numId w:val="9"/>
        </w:numPr>
        <w:jc w:val="both"/>
      </w:pPr>
      <w:r w:rsidRPr="00286E49">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A1CDC" w:rsidRPr="00286E49" w:rsidRDefault="006A1CDC" w:rsidP="00F20E4B">
      <w:pPr>
        <w:numPr>
          <w:ilvl w:val="0"/>
          <w:numId w:val="9"/>
        </w:numPr>
        <w:jc w:val="both"/>
      </w:pPr>
      <w:r w:rsidRPr="00286E49">
        <w:t>Jeżeli zamawiający stwierdzi, że wobec danego podwykonawcy zachodzą podstawy wykluczenia, wykonawca obowiązany jest zastąpić tego podwykonawcę lub zrezygnować z powierzenia wykonania części zamówienia podwykonawcy.</w:t>
      </w:r>
    </w:p>
    <w:p w:rsidR="006A1CDC" w:rsidRPr="00286E49" w:rsidRDefault="006A1CDC" w:rsidP="00F20E4B">
      <w:pPr>
        <w:numPr>
          <w:ilvl w:val="0"/>
          <w:numId w:val="9"/>
        </w:numPr>
        <w:jc w:val="both"/>
      </w:pPr>
      <w:r w:rsidRPr="00286E49">
        <w:t>Zapisy postanowień ust. 5 i 6 stosuje się wobec dalszych podwykonawców, jeżeli zamawiający przewidział  to w specyfikacji istotnych warunków zamówienia.</w:t>
      </w:r>
    </w:p>
    <w:p w:rsidR="006A1CDC" w:rsidRPr="00286E49" w:rsidRDefault="006A1CDC" w:rsidP="00F20E4B">
      <w:pPr>
        <w:numPr>
          <w:ilvl w:val="0"/>
          <w:numId w:val="9"/>
        </w:numPr>
        <w:jc w:val="both"/>
      </w:pPr>
      <w:r w:rsidRPr="00286E49">
        <w:t xml:space="preserve">Powierzenie wykonania części zamówienia podwykonawcom nie zwalnia wykonawcy </w:t>
      </w:r>
      <w:r w:rsidRPr="00286E49">
        <w:br/>
        <w:t>z odpowiedzialności  za należyte Wykonanie tego zamówienia.</w:t>
      </w:r>
    </w:p>
    <w:p w:rsidR="006A1CDC" w:rsidRPr="00286E49" w:rsidRDefault="006A1CDC" w:rsidP="00F20E4B">
      <w:pPr>
        <w:numPr>
          <w:ilvl w:val="0"/>
          <w:numId w:val="9"/>
        </w:numPr>
        <w:jc w:val="both"/>
      </w:pPr>
      <w:r w:rsidRPr="00286E49">
        <w:t>Wykonawca, który zamierza powierzyć wykonanie części zamówienia podwykonawcom, w celu wykazania braku istnienia wobec nich podstaw wykluczenia z udziału w postępowaniu składa jednolity dokument dotyczący podwykonawcy.</w:t>
      </w:r>
    </w:p>
    <w:p w:rsidR="006A1CDC" w:rsidRPr="00286E49" w:rsidRDefault="006A1CDC" w:rsidP="009C02E4"/>
    <w:p w:rsidR="006A1CDC" w:rsidRPr="00286E49" w:rsidRDefault="006A1CDC" w:rsidP="009C02E4">
      <w:pPr>
        <w:rPr>
          <w:b/>
          <w:bCs/>
        </w:rPr>
      </w:pPr>
      <w:r w:rsidRPr="00286E49">
        <w:rPr>
          <w:b/>
          <w:bCs/>
        </w:rPr>
        <w:t>Rozdział 10</w:t>
      </w:r>
    </w:p>
    <w:p w:rsidR="006A1CDC" w:rsidRPr="00286E49" w:rsidRDefault="006A1CDC" w:rsidP="009C02E4">
      <w:pPr>
        <w:rPr>
          <w:b/>
          <w:bCs/>
        </w:rPr>
      </w:pPr>
      <w:r w:rsidRPr="00286E49">
        <w:rPr>
          <w:b/>
          <w:bCs/>
        </w:rPr>
        <w:t xml:space="preserve">Warunki udziału w postępowaniu </w:t>
      </w:r>
    </w:p>
    <w:p w:rsidR="006A1CDC" w:rsidRPr="00286E49" w:rsidRDefault="006A1CDC" w:rsidP="009C02E4"/>
    <w:p w:rsidR="006A1CDC" w:rsidRPr="00286E49" w:rsidRDefault="006A1CDC" w:rsidP="009C02E4">
      <w:pPr>
        <w:numPr>
          <w:ilvl w:val="0"/>
          <w:numId w:val="10"/>
        </w:numPr>
      </w:pPr>
      <w:r w:rsidRPr="00286E49">
        <w:t>udzielenie zamówienia publicznego ubiegać się mogą wykonawcy, którzy spełniają warunki udziału w postępowaniu dotyczące:</w:t>
      </w:r>
    </w:p>
    <w:p w:rsidR="006A1CDC" w:rsidRPr="00286E49" w:rsidRDefault="006A1CDC" w:rsidP="009C02E4">
      <w:r w:rsidRPr="00286E49">
        <w:t>-</w:t>
      </w:r>
      <w:r w:rsidRPr="00286E49">
        <w:tab/>
        <w:t xml:space="preserve">posiadania kompetencji lub uprawnień do prowadzenia określonej działalności  </w:t>
      </w:r>
      <w:r w:rsidRPr="00286E49">
        <w:tab/>
        <w:t>zawodowej, o ile wynika to z odrębnych przepisów,</w:t>
      </w:r>
    </w:p>
    <w:p w:rsidR="006A1CDC" w:rsidRPr="00286E49" w:rsidRDefault="006A1CDC" w:rsidP="009C02E4">
      <w:r w:rsidRPr="00286E49">
        <w:t>-</w:t>
      </w:r>
      <w:r w:rsidRPr="00286E49">
        <w:tab/>
        <w:t>sytuacji ekonomicznej lub finansowej,</w:t>
      </w:r>
    </w:p>
    <w:p w:rsidR="006A1CDC" w:rsidRPr="00286E49" w:rsidRDefault="006A1CDC" w:rsidP="009C02E4">
      <w:r w:rsidRPr="00286E49">
        <w:t>-</w:t>
      </w:r>
      <w:r w:rsidRPr="00286E49">
        <w:tab/>
        <w:t>zdolności technicznej lub zawodowej,</w:t>
      </w:r>
    </w:p>
    <w:p w:rsidR="006A1CDC" w:rsidRPr="00286E49" w:rsidRDefault="006A1CDC" w:rsidP="0095122A">
      <w:pPr>
        <w:numPr>
          <w:ilvl w:val="0"/>
          <w:numId w:val="10"/>
        </w:numPr>
      </w:pPr>
      <w:r w:rsidRPr="00286E49">
        <w:t>W zakresie posiadania kompetencji lub uprawnień do prowadzenia określonej działalności zawodowej,  o ile wynika to z odrębnych przepisów:  Zamawiający nie określa warunków udziału w postępowaniu.</w:t>
      </w:r>
    </w:p>
    <w:p w:rsidR="006A1CDC" w:rsidRPr="00286E49" w:rsidRDefault="006A1CDC" w:rsidP="0095122A">
      <w:pPr>
        <w:numPr>
          <w:ilvl w:val="0"/>
          <w:numId w:val="10"/>
        </w:numPr>
      </w:pPr>
      <w:r w:rsidRPr="00286E49">
        <w:t>W zakresie znajdowania się w sytuacji ekonomicznej lub finansowej: Zamawiający uzna, iż wykonawca spełnia warunek, jeżeli wykaże, iż: posiada środki finansowe lub zdolność kredytową w wysokości:</w:t>
      </w:r>
    </w:p>
    <w:p w:rsidR="006A1CDC" w:rsidRPr="00286E49" w:rsidRDefault="006A1CDC" w:rsidP="0095122A">
      <w:pPr>
        <w:numPr>
          <w:ilvl w:val="1"/>
          <w:numId w:val="10"/>
        </w:numPr>
        <w:jc w:val="both"/>
      </w:pPr>
      <w:r w:rsidRPr="00286E49">
        <w:t>nie mniejszej niż 5 milionów złotych dla części I</w:t>
      </w:r>
    </w:p>
    <w:p w:rsidR="006A1CDC" w:rsidRPr="00286E49" w:rsidRDefault="006A1CDC" w:rsidP="0095122A">
      <w:pPr>
        <w:numPr>
          <w:ilvl w:val="1"/>
          <w:numId w:val="10"/>
        </w:numPr>
        <w:jc w:val="both"/>
      </w:pPr>
      <w:r w:rsidRPr="00286E49">
        <w:t>nie mniejszej niż 2 milion złotych dla części II</w:t>
      </w:r>
    </w:p>
    <w:p w:rsidR="006A1CDC" w:rsidRPr="00286E49" w:rsidRDefault="006A1CDC" w:rsidP="0095122A">
      <w:pPr>
        <w:numPr>
          <w:ilvl w:val="0"/>
          <w:numId w:val="10"/>
        </w:numPr>
        <w:jc w:val="both"/>
      </w:pPr>
      <w:r w:rsidRPr="00286E49">
        <w:t>W zakresie zdolności technicznej lub zawodowej: Zamawiający uzna, iż wykonawca spełni warunek  jeżeli wykaże, iż w okresie ostatnich 3 lat przed upływem terminu składania ofert, a jeżeli okres prowadzenia działalności jest krótszy to w tym okresie wykonał dostawy:</w:t>
      </w:r>
    </w:p>
    <w:p w:rsidR="006A1CDC" w:rsidRPr="00286E49" w:rsidRDefault="006A1CDC" w:rsidP="0095122A">
      <w:pPr>
        <w:ind w:left="360"/>
        <w:jc w:val="both"/>
      </w:pPr>
    </w:p>
    <w:p w:rsidR="006A1CDC" w:rsidRPr="00286E49" w:rsidRDefault="006A1CDC" w:rsidP="009C02E4"/>
    <w:p w:rsidR="006A1CDC" w:rsidRPr="00286E49" w:rsidRDefault="006A1CDC" w:rsidP="00F20E4B">
      <w:pPr>
        <w:jc w:val="both"/>
        <w:rPr>
          <w:b/>
          <w:bCs/>
        </w:rPr>
      </w:pPr>
      <w:r w:rsidRPr="00286E49">
        <w:t xml:space="preserve">co najmniej 3 sztuki fabrycznie nowych autobusów komunikacji miejskiej, hybrydowych z silnikami wysokoprężnymi, zasilanymi olejem napędowym o wartości  min. 5 milionów złotych brutto łącznie dla </w:t>
      </w:r>
      <w:r w:rsidRPr="00286E49">
        <w:rPr>
          <w:b/>
          <w:bCs/>
        </w:rPr>
        <w:t xml:space="preserve">części I </w:t>
      </w:r>
    </w:p>
    <w:p w:rsidR="006A1CDC" w:rsidRPr="00286E49" w:rsidRDefault="006A1CDC" w:rsidP="00F20E4B">
      <w:pPr>
        <w:jc w:val="both"/>
      </w:pPr>
    </w:p>
    <w:p w:rsidR="006A1CDC" w:rsidRPr="00286E49" w:rsidRDefault="006A1CDC" w:rsidP="00F20E4B">
      <w:pPr>
        <w:jc w:val="both"/>
        <w:rPr>
          <w:b/>
          <w:bCs/>
        </w:rPr>
      </w:pPr>
      <w:r w:rsidRPr="00286E49">
        <w:t xml:space="preserve">co najmniej 2 sztuk fabrycznie nowych autobusów komunikacji miejskiej, z silnikami wysokoprężnymi, zasilanymi olejem napędowym o wartości  min. 2 milionów złotych brutto łącznie </w:t>
      </w:r>
      <w:r w:rsidRPr="00286E49">
        <w:rPr>
          <w:b/>
          <w:bCs/>
        </w:rPr>
        <w:t>dla części II.</w:t>
      </w:r>
    </w:p>
    <w:p w:rsidR="006A1CDC" w:rsidRPr="00286E49" w:rsidRDefault="006A1CDC" w:rsidP="00F20E4B">
      <w:pPr>
        <w:jc w:val="both"/>
        <w:rPr>
          <w:b/>
          <w:bCs/>
        </w:rPr>
      </w:pPr>
    </w:p>
    <w:p w:rsidR="006A1CDC" w:rsidRPr="00286E49" w:rsidRDefault="006A1CDC" w:rsidP="0095122A">
      <w:pPr>
        <w:numPr>
          <w:ilvl w:val="0"/>
          <w:numId w:val="10"/>
        </w:numPr>
        <w:jc w:val="both"/>
      </w:pPr>
      <w:r w:rsidRPr="00286E49">
        <w:t>Wstępna ocena spełnienia powyższych warunków zostanie dokonana na podstawie przedłożonego oświadczenia Wykonawcy (JEDZ).</w:t>
      </w:r>
    </w:p>
    <w:p w:rsidR="006A1CDC" w:rsidRPr="00286E49" w:rsidRDefault="006A1CDC" w:rsidP="00F20E4B">
      <w:pPr>
        <w:numPr>
          <w:ilvl w:val="0"/>
          <w:numId w:val="10"/>
        </w:numPr>
        <w:jc w:val="both"/>
      </w:pPr>
      <w:r w:rsidRPr="00286E49">
        <w:t xml:space="preserve">Zamawiający mając na względzie art. 22 ust. 1 a  pzp - określił warunki udziału </w:t>
      </w:r>
      <w:r w:rsidRPr="00286E49">
        <w:br/>
        <w:t>w postępowaniu oraz wymagane od wykonawców środki dowodowe w sposób proporcjonalny do przedmiotu zamówienia oraz umożliwiający ocenę zdolności wykonawcy do należytego wykonania zamówienia wyrażając je jako minimalne poziomy zdolności.</w:t>
      </w:r>
    </w:p>
    <w:p w:rsidR="006A1CDC" w:rsidRPr="00286E49" w:rsidRDefault="006A1CDC" w:rsidP="00F20E4B">
      <w:pPr>
        <w:numPr>
          <w:ilvl w:val="0"/>
          <w:numId w:val="10"/>
        </w:numPr>
        <w:jc w:val="both"/>
      </w:pPr>
      <w:r w:rsidRPr="00286E49">
        <w:t>W przypadku złożenia przez wykonawców dokumentów zawierających dane i wartości w walutach innych niż polski złoty (PLN), zamawiający jako kurs przeliczeniowy waluty przyjmie kurs średni waluty obcej według Narodowego Banku Polskiego (</w:t>
      </w:r>
      <w:hyperlink r:id="rId9" w:history="1">
        <w:r w:rsidRPr="00286E49">
          <w:t>www.nbp.gov.pl</w:t>
        </w:r>
      </w:hyperlink>
      <w:r w:rsidRPr="00286E49">
        <w:t>) z dnia zamieszczenia ogłoszenia o zamówieniu w Dzienniku Urzędowym Unii Europejskiej. W przypadku braku ogłoszenia średniego kursu waluty obcej w dniu publikacji ogłoszenia o zamówieniu w Dzienniku Urzędowym, zamawiający, jako kurs przeliczeniowy przyjmie kurs ogłoszony przez Narodowy Bank Polski   w najbliższym dniu po zamieszczeniu ogłoszenia w Dzienniku Urzędowym.</w:t>
      </w:r>
    </w:p>
    <w:p w:rsidR="006A1CDC" w:rsidRPr="00286E49" w:rsidRDefault="006A1CDC" w:rsidP="00F20E4B">
      <w:pPr>
        <w:numPr>
          <w:ilvl w:val="0"/>
          <w:numId w:val="10"/>
        </w:numPr>
        <w:jc w:val="both"/>
      </w:pPr>
      <w:r w:rsidRPr="00286E49">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6A1CDC" w:rsidRPr="00286E49" w:rsidRDefault="006A1CDC" w:rsidP="00F20E4B">
      <w:pPr>
        <w:numPr>
          <w:ilvl w:val="0"/>
          <w:numId w:val="10"/>
        </w:numPr>
        <w:jc w:val="both"/>
      </w:pPr>
      <w:r w:rsidRPr="00286E49">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A1CDC" w:rsidRPr="00286E49" w:rsidRDefault="006A1CDC" w:rsidP="00F20E4B">
      <w:pPr>
        <w:numPr>
          <w:ilvl w:val="0"/>
          <w:numId w:val="10"/>
        </w:numPr>
        <w:jc w:val="both"/>
      </w:pPr>
      <w:r w:rsidRPr="00286E49">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A1CDC" w:rsidRPr="00286E49" w:rsidRDefault="006A1CDC" w:rsidP="00F20E4B">
      <w:pPr>
        <w:numPr>
          <w:ilvl w:val="0"/>
          <w:numId w:val="10"/>
        </w:numPr>
        <w:jc w:val="both"/>
      </w:pPr>
      <w:r w:rsidRPr="00286E49">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2 do SIWZ.</w:t>
      </w:r>
    </w:p>
    <w:p w:rsidR="006A1CDC" w:rsidRPr="00286E49" w:rsidRDefault="006A1CDC" w:rsidP="00F20E4B">
      <w:pPr>
        <w:numPr>
          <w:ilvl w:val="0"/>
          <w:numId w:val="10"/>
        </w:numPr>
        <w:jc w:val="both"/>
      </w:pPr>
      <w:r w:rsidRPr="00286E49">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
    <w:p w:rsidR="006A1CDC" w:rsidRPr="00286E49" w:rsidRDefault="006A1CDC" w:rsidP="00F20E4B">
      <w:pPr>
        <w:numPr>
          <w:ilvl w:val="0"/>
          <w:numId w:val="10"/>
        </w:numPr>
        <w:jc w:val="both"/>
      </w:pPr>
      <w:r w:rsidRPr="00286E49">
        <w:t>Wykonawca, który polega na sytuacji finansowej lub ekonomicznej innych podmiotów, odpowiada solidarni z podmiotem, który zobowiązał się do udostępnienia zasobów, za szkodę poniesioną przez zamawiającego powstałą wskutek nie udostępnienia tych zasobów, chyba że za nie udostępnienie zasobów nie ponosi winy.</w:t>
      </w:r>
    </w:p>
    <w:p w:rsidR="006A1CDC" w:rsidRPr="00286E49" w:rsidRDefault="006A1CDC" w:rsidP="00F20E4B">
      <w:pPr>
        <w:numPr>
          <w:ilvl w:val="0"/>
          <w:numId w:val="10"/>
        </w:numPr>
        <w:jc w:val="both"/>
      </w:pPr>
      <w:r w:rsidRPr="00286E49">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 </w:t>
      </w:r>
    </w:p>
    <w:p w:rsidR="006A1CDC" w:rsidRPr="00286E49" w:rsidRDefault="006A1CDC" w:rsidP="00F20E4B">
      <w:pPr>
        <w:jc w:val="both"/>
      </w:pPr>
      <w:r w:rsidRPr="00286E49">
        <w:t>-</w:t>
      </w:r>
      <w:r w:rsidRPr="00286E49">
        <w:tab/>
        <w:t>zastąpił ten podmiot innym podmiotem lub podmiotami lub,</w:t>
      </w:r>
    </w:p>
    <w:p w:rsidR="006A1CDC" w:rsidRPr="00286E49" w:rsidRDefault="006A1CDC" w:rsidP="00F20E4B">
      <w:pPr>
        <w:jc w:val="both"/>
      </w:pPr>
      <w:r w:rsidRPr="00286E49">
        <w:t xml:space="preserve">- </w:t>
      </w:r>
      <w:r w:rsidRPr="00286E49">
        <w:tab/>
        <w:t xml:space="preserve">zobowiązał się do osobistego wykonania odpowiedniej części zamówienia, jeżeli </w:t>
      </w:r>
      <w:r w:rsidRPr="00286E49">
        <w:tab/>
        <w:t xml:space="preserve">wykaże zdolności techniczne lub zawodowe lub sytuację finansową lub ekonomiczną, </w:t>
      </w:r>
      <w:r w:rsidRPr="00286E49">
        <w:br/>
      </w:r>
      <w:r w:rsidRPr="00286E49">
        <w:tab/>
        <w:t>o których mowa w art. 22 a ust. 1 pzp.</w:t>
      </w:r>
    </w:p>
    <w:p w:rsidR="006A1CDC" w:rsidRPr="00286E49" w:rsidRDefault="006A1CDC" w:rsidP="00F20E4B">
      <w:pPr>
        <w:jc w:val="both"/>
      </w:pPr>
      <w:r w:rsidRPr="00286E49">
        <w:t xml:space="preserve">15. Zobowiązanie (bądź inne, odpowiednie oświadczenie w tym zakresie) winno wyrażać </w:t>
      </w:r>
      <w:r w:rsidRPr="00286E49">
        <w:br/>
        <w:t xml:space="preserve">       w sposób wyraźny i jednoznaczny wolę udzielenia wykonawcy ubiegającemu się </w:t>
      </w:r>
      <w:r w:rsidRPr="00286E49">
        <w:br/>
        <w:t xml:space="preserve">       o  zamówienie odpowiedniego zasobu.</w:t>
      </w:r>
    </w:p>
    <w:p w:rsidR="006A1CDC" w:rsidRPr="00286E49" w:rsidRDefault="006A1CDC" w:rsidP="009C02E4">
      <w:pPr>
        <w:rPr>
          <w:b/>
          <w:bCs/>
        </w:rPr>
      </w:pPr>
    </w:p>
    <w:p w:rsidR="006A1CDC" w:rsidRPr="00286E49" w:rsidRDefault="006A1CDC" w:rsidP="009C02E4">
      <w:pPr>
        <w:rPr>
          <w:b/>
          <w:bCs/>
        </w:rPr>
      </w:pPr>
      <w:r w:rsidRPr="00286E49">
        <w:rPr>
          <w:b/>
          <w:bCs/>
        </w:rPr>
        <w:t>Rozdział 11</w:t>
      </w:r>
    </w:p>
    <w:p w:rsidR="006A1CDC" w:rsidRPr="00286E49" w:rsidRDefault="006A1CDC" w:rsidP="009C02E4">
      <w:pPr>
        <w:rPr>
          <w:b/>
          <w:bCs/>
        </w:rPr>
      </w:pPr>
      <w:r w:rsidRPr="00286E49">
        <w:rPr>
          <w:b/>
          <w:bCs/>
        </w:rPr>
        <w:t>Podstawy wykluczenia z postępowania</w:t>
      </w:r>
    </w:p>
    <w:p w:rsidR="006A1CDC" w:rsidRPr="00286E49" w:rsidRDefault="006A1CDC" w:rsidP="009C02E4"/>
    <w:p w:rsidR="006A1CDC" w:rsidRPr="00286E49" w:rsidRDefault="006A1CDC" w:rsidP="00F20E4B">
      <w:pPr>
        <w:jc w:val="both"/>
      </w:pPr>
      <w:r w:rsidRPr="00286E49">
        <w:t>O udzielenie zamówienia publicznego ubiegać się mogą wykonawcy, którzy nie podlegają wykluczeniu z postępowania.</w:t>
      </w:r>
    </w:p>
    <w:p w:rsidR="006A1CDC" w:rsidRPr="00286E49" w:rsidRDefault="006A1CDC" w:rsidP="00F20E4B">
      <w:pPr>
        <w:jc w:val="both"/>
      </w:pPr>
    </w:p>
    <w:p w:rsidR="006A1CDC" w:rsidRPr="00286E49" w:rsidRDefault="006A1CDC" w:rsidP="00F20E4B">
      <w:pPr>
        <w:jc w:val="both"/>
      </w:pPr>
      <w:r w:rsidRPr="00286E49">
        <w:t>1.</w:t>
      </w:r>
      <w:r w:rsidRPr="00286E49">
        <w:tab/>
        <w:t>Zamawiający  zgodnie z art. 24 ust. 1 wykluczy Wykonawcę:</w:t>
      </w:r>
    </w:p>
    <w:p w:rsidR="006A1CDC" w:rsidRPr="00286E49" w:rsidRDefault="006A1CDC" w:rsidP="00F20E4B">
      <w:pPr>
        <w:jc w:val="both"/>
      </w:pPr>
      <w:r w:rsidRPr="00286E49">
        <w:t>-</w:t>
      </w:r>
      <w:r w:rsidRPr="00286E49">
        <w:tab/>
        <w:t xml:space="preserve">który nie wykazał spełniania warunków udziału w postępowaniu lub nie wykazał </w:t>
      </w:r>
      <w:r w:rsidRPr="00286E49">
        <w:tab/>
        <w:t>braku podstaw wykluczenia;</w:t>
      </w:r>
    </w:p>
    <w:p w:rsidR="006A1CDC" w:rsidRPr="00286E49" w:rsidRDefault="006A1CDC" w:rsidP="00F20E4B">
      <w:pPr>
        <w:jc w:val="both"/>
      </w:pPr>
      <w:r w:rsidRPr="00286E49">
        <w:t>-</w:t>
      </w:r>
      <w:r w:rsidRPr="00286E49">
        <w:tab/>
        <w:t>będącego osobą fizyczną, którego prawomocnie skazano za przestępstwo:</w:t>
      </w:r>
    </w:p>
    <w:p w:rsidR="006A1CDC" w:rsidRPr="00286E49" w:rsidRDefault="006A1CDC" w:rsidP="00F20E4B">
      <w:pPr>
        <w:jc w:val="both"/>
      </w:pPr>
      <w:r w:rsidRPr="00286E49">
        <w:t xml:space="preserve">a) </w:t>
      </w:r>
      <w:r w:rsidRPr="00286E49">
        <w:tab/>
        <w:t xml:space="preserve">o którym mowa w art. 165a, art. 181–188, art. 189a, art. 218–221, art. 228–230a, art. </w:t>
      </w:r>
      <w:r w:rsidRPr="00286E49">
        <w:tab/>
        <w:t xml:space="preserve">250a,  </w:t>
      </w:r>
      <w:r w:rsidRPr="00286E49">
        <w:tab/>
        <w:t xml:space="preserve">art. 258 lub art. 270–309 ustawy z dnia 6 czerwca 1997 r. – Kodeks karny (Dz. </w:t>
      </w:r>
      <w:r w:rsidRPr="00286E49">
        <w:tab/>
        <w:t xml:space="preserve">U. poz. 553, z późn. zm.5) lub art. 46 lub art. 48 ustawy z dnia 25 czerwca 2010 r. o </w:t>
      </w:r>
      <w:r w:rsidRPr="00286E49">
        <w:tab/>
        <w:t>sporcie (Dz. U. z 2016 r. poz. 176),</w:t>
      </w:r>
    </w:p>
    <w:p w:rsidR="006A1CDC" w:rsidRPr="00286E49" w:rsidRDefault="006A1CDC" w:rsidP="00F20E4B">
      <w:pPr>
        <w:jc w:val="both"/>
      </w:pPr>
      <w:r w:rsidRPr="00286E49">
        <w:t xml:space="preserve">b) </w:t>
      </w:r>
      <w:r w:rsidRPr="00286E49">
        <w:tab/>
        <w:t xml:space="preserve">o charakterze terrorystycznym, o którym mowa w art. 115 § 20 ustawy z dnia </w:t>
      </w:r>
      <w:r w:rsidRPr="00286E49">
        <w:br/>
      </w:r>
      <w:r w:rsidRPr="00286E49">
        <w:tab/>
        <w:t>6 czerwca 1997 r. – Kodeks karny,</w:t>
      </w:r>
    </w:p>
    <w:p w:rsidR="006A1CDC" w:rsidRPr="00286E49" w:rsidRDefault="006A1CDC" w:rsidP="00F20E4B">
      <w:pPr>
        <w:jc w:val="both"/>
      </w:pPr>
      <w:r w:rsidRPr="00286E49">
        <w:t xml:space="preserve">c) </w:t>
      </w:r>
      <w:r w:rsidRPr="00286E49">
        <w:tab/>
        <w:t>skarbowe,</w:t>
      </w:r>
    </w:p>
    <w:p w:rsidR="006A1CDC" w:rsidRPr="00286E49" w:rsidRDefault="006A1CDC" w:rsidP="00F20E4B">
      <w:pPr>
        <w:jc w:val="both"/>
      </w:pPr>
      <w:r w:rsidRPr="00286E49">
        <w:t xml:space="preserve">d) </w:t>
      </w:r>
      <w:r w:rsidRPr="00286E49">
        <w:tab/>
        <w:t xml:space="preserve">o którym mowa w art. 9 lub art. 10 ustawy z dnia 15 czerwca 2012 r. o skutkach </w:t>
      </w:r>
      <w:r w:rsidRPr="00286E49">
        <w:tab/>
        <w:t xml:space="preserve">powierzania wykonywania pracy cudzoziemcom przebywającym wbrew przepisom na </w:t>
      </w:r>
      <w:r w:rsidRPr="00286E49">
        <w:tab/>
        <w:t>terytorium Rzeczypospolitej Polskiej (Dz. U. poz. 769);</w:t>
      </w:r>
    </w:p>
    <w:p w:rsidR="006A1CDC" w:rsidRPr="00286E49" w:rsidRDefault="006A1CDC" w:rsidP="0026067B">
      <w:pPr>
        <w:jc w:val="both"/>
      </w:pPr>
      <w:r w:rsidRPr="00286E49">
        <w:t>-</w:t>
      </w:r>
      <w:r w:rsidRPr="00286E49">
        <w:tab/>
        <w:t xml:space="preserve">jeżeli urzędującego członka jego organu zarządzającego lub nadzorczego, wspólnika </w:t>
      </w:r>
      <w:r w:rsidRPr="00286E49">
        <w:tab/>
        <w:t xml:space="preserve">spółki w spółce jawnej lub partnerskiej albo komplementariusza w spółce </w:t>
      </w:r>
      <w:r w:rsidRPr="00286E49">
        <w:tab/>
        <w:t xml:space="preserve">komandytowej lub komandytowo-akcyjnej lub prokurenta prawomocnie skazano za </w:t>
      </w:r>
      <w:r w:rsidRPr="00286E49">
        <w:tab/>
        <w:t>przestępstwo, o którym mowa w pkt 1 tiret 2;</w:t>
      </w:r>
    </w:p>
    <w:p w:rsidR="006A1CDC" w:rsidRPr="00286E49" w:rsidRDefault="006A1CDC" w:rsidP="00F20E4B">
      <w:pPr>
        <w:jc w:val="both"/>
      </w:pPr>
      <w:r w:rsidRPr="00286E49">
        <w:t>-</w:t>
      </w:r>
      <w:r w:rsidRPr="00286E49">
        <w:tab/>
        <w:t xml:space="preserve">wobec którego wydano prawomocny wyrok sądu lub ostateczną decyzję </w:t>
      </w:r>
      <w:r w:rsidRPr="00286E49">
        <w:tab/>
        <w:t xml:space="preserve">administracyjną o zaleganiu  z uiszczeniem podatków, opłat lub składek na </w:t>
      </w:r>
      <w:r w:rsidRPr="00286E49">
        <w:tab/>
        <w:t xml:space="preserve">ubezpieczenia społeczne lub zdrowotne, chyb, że wykonawca dokonał płatności </w:t>
      </w:r>
      <w:r w:rsidRPr="00286E49">
        <w:tab/>
        <w:t xml:space="preserve">należnych podatków, opłat lub składek na ubezpieczenia społeczne lub zdrowotne </w:t>
      </w:r>
      <w:r w:rsidRPr="00286E49">
        <w:tab/>
        <w:t xml:space="preserve">wraz z odsetkami lub grzywnami lub zawarł wiążące porozumienie w sprawie spłaty </w:t>
      </w:r>
      <w:r w:rsidRPr="00286E49">
        <w:tab/>
        <w:t>tych należności;</w:t>
      </w:r>
    </w:p>
    <w:p w:rsidR="006A1CDC" w:rsidRPr="00286E49" w:rsidRDefault="006A1CDC" w:rsidP="00F20E4B">
      <w:pPr>
        <w:jc w:val="both"/>
      </w:pPr>
      <w:r w:rsidRPr="00286E49">
        <w:t>-</w:t>
      </w:r>
      <w:r w:rsidRPr="00286E49">
        <w:tab/>
        <w:t xml:space="preserve">który w wyniku zamierzonego działania lub rażącego niedbalstwa wprowadził </w:t>
      </w:r>
      <w:r w:rsidRPr="00286E49">
        <w:tab/>
        <w:t xml:space="preserve">zamawiającego w błąd przy przedstawieniu informacji, że nie podlega wykluczeniu, </w:t>
      </w:r>
      <w:r w:rsidRPr="00286E49">
        <w:tab/>
        <w:t xml:space="preserve">spełnia warunki udziału w postępowaniu lub obiektywne i niedyskryminacyjne </w:t>
      </w:r>
      <w:r w:rsidRPr="00286E49">
        <w:tab/>
        <w:t xml:space="preserve">kryteria selekcji, lub który zataił te informacje lub nie jest w stanie przedstawić </w:t>
      </w:r>
      <w:r w:rsidRPr="00286E49">
        <w:tab/>
        <w:t>wymaganych dokumentów;</w:t>
      </w:r>
    </w:p>
    <w:p w:rsidR="006A1CDC" w:rsidRPr="00286E49" w:rsidRDefault="006A1CDC" w:rsidP="00F20E4B">
      <w:pPr>
        <w:jc w:val="both"/>
      </w:pPr>
      <w:r w:rsidRPr="00286E49">
        <w:t>-</w:t>
      </w:r>
      <w:r w:rsidRPr="00286E49">
        <w:tab/>
        <w:t xml:space="preserve">który w wyniku lekkomyślności lub niedbalstwa przedstawił informacje </w:t>
      </w:r>
      <w:r w:rsidRPr="00286E49">
        <w:tab/>
        <w:t xml:space="preserve">wprowadzające w błąd zamawiającego, mogące mieć istotny wpływ na decyzje </w:t>
      </w:r>
      <w:r w:rsidRPr="00286E49">
        <w:tab/>
        <w:t>podejmowane przez zamawiającego w postępowaniu o udzielenie zamówienia;</w:t>
      </w:r>
    </w:p>
    <w:p w:rsidR="006A1CDC" w:rsidRPr="00286E49" w:rsidRDefault="006A1CDC" w:rsidP="00F20E4B">
      <w:pPr>
        <w:jc w:val="both"/>
      </w:pPr>
      <w:r w:rsidRPr="00286E49">
        <w:t>-</w:t>
      </w:r>
      <w:r w:rsidRPr="00286E49">
        <w:tab/>
        <w:t xml:space="preserve">który bezprawnie wpływał lub próbował wpłynąć na czynności zamawiającego lub </w:t>
      </w:r>
      <w:r w:rsidRPr="00286E49">
        <w:tab/>
        <w:t xml:space="preserve">pozyskać informacje poufne, mogące dać mu przewagę w postępowaniu o udzielenie </w:t>
      </w:r>
      <w:r w:rsidRPr="00286E49">
        <w:tab/>
        <w:t>zamówienia;</w:t>
      </w:r>
    </w:p>
    <w:p w:rsidR="006A1CDC" w:rsidRPr="00286E49" w:rsidRDefault="006A1CDC" w:rsidP="00F20E4B">
      <w:pPr>
        <w:jc w:val="both"/>
      </w:pPr>
      <w:r w:rsidRPr="00286E49">
        <w:t>-</w:t>
      </w:r>
      <w:r w:rsidRPr="00286E49">
        <w:tab/>
        <w:t xml:space="preserve">który brał udział w przygotowaniu postępowania o udzielenie zamówienia lub którego </w:t>
      </w:r>
      <w:r w:rsidRPr="00286E49">
        <w:tab/>
        <w:t xml:space="preserve">pracownik, a także osoba wykonująca pracę na podstawie umowy zlecenia, o dzieło, </w:t>
      </w:r>
      <w:r w:rsidRPr="00286E49">
        <w:tab/>
        <w:t xml:space="preserve">agencyjnej lub innej umowy  o świadczenie usług, brał udział w przygotowaniu </w:t>
      </w:r>
      <w:r w:rsidRPr="00286E49">
        <w:tab/>
        <w:t xml:space="preserve">takiego postępowania, chyba że spowodowane tym zakłócenie konkurencji może być </w:t>
      </w:r>
      <w:r w:rsidRPr="00286E49">
        <w:tab/>
        <w:t xml:space="preserve">wyeliminowane w inny sposób niż przez wykluczenie wykonawcy z udziału w </w:t>
      </w:r>
      <w:r w:rsidRPr="00286E49">
        <w:tab/>
        <w:t>postępowaniu;</w:t>
      </w:r>
    </w:p>
    <w:p w:rsidR="006A1CDC" w:rsidRPr="00286E49" w:rsidRDefault="006A1CDC" w:rsidP="00F20E4B">
      <w:pPr>
        <w:jc w:val="both"/>
      </w:pPr>
      <w:r w:rsidRPr="00286E49">
        <w:t>-</w:t>
      </w:r>
      <w:r w:rsidRPr="00286E49">
        <w:tab/>
        <w:t xml:space="preserve">który z innymi wykonawcami zawarł porozumienie mające na celu zakłócenie </w:t>
      </w:r>
      <w:r w:rsidRPr="00286E49">
        <w:tab/>
        <w:t xml:space="preserve">konkurencji między wykonawcami w postępowaniu o udzielenie zamówienia, co </w:t>
      </w:r>
      <w:r w:rsidRPr="00286E49">
        <w:tab/>
        <w:t>zamawiający jest w stanie wykazać za pomocą stosownych środków dowodowych;</w:t>
      </w:r>
    </w:p>
    <w:p w:rsidR="006A1CDC" w:rsidRPr="00286E49" w:rsidRDefault="006A1CDC" w:rsidP="00F20E4B">
      <w:pPr>
        <w:jc w:val="both"/>
      </w:pPr>
      <w:r w:rsidRPr="00286E49">
        <w:t>-</w:t>
      </w:r>
      <w:r w:rsidRPr="00286E49">
        <w:tab/>
        <w:t xml:space="preserve">będącego podmiotem zbiorowym, wobec którego sąd orzekł zakaz ubiegania się o </w:t>
      </w:r>
      <w:r w:rsidRPr="00286E49">
        <w:tab/>
        <w:t xml:space="preserve">zamówienia publiczne na podstawie ustawy z dnia 28 października 2002 r. o </w:t>
      </w:r>
      <w:r w:rsidRPr="00286E49">
        <w:tab/>
        <w:t xml:space="preserve">odpowiedzialności podmiotów zbiorowych za czyny zabronione pod groźbą kary (Dz. </w:t>
      </w:r>
      <w:r w:rsidRPr="00286E49">
        <w:tab/>
        <w:t>U. z 2015 r. poz. 1212, 1844 i 1855 oraz z 2016 r. poz. 437 i 544);</w:t>
      </w:r>
    </w:p>
    <w:p w:rsidR="006A1CDC" w:rsidRPr="00286E49" w:rsidRDefault="006A1CDC" w:rsidP="00F20E4B">
      <w:pPr>
        <w:jc w:val="both"/>
      </w:pPr>
      <w:r w:rsidRPr="00286E49">
        <w:t>-</w:t>
      </w:r>
      <w:r w:rsidRPr="00286E49">
        <w:tab/>
        <w:t xml:space="preserve">wobec którego orzeczono tytułem środka zapobiegawczego zakaz ubiegania się </w:t>
      </w:r>
      <w:r w:rsidRPr="00286E49">
        <w:br/>
      </w:r>
      <w:r w:rsidRPr="00286E49">
        <w:tab/>
        <w:t>o zamówienia publiczne;</w:t>
      </w:r>
    </w:p>
    <w:p w:rsidR="006A1CDC" w:rsidRPr="00286E49" w:rsidRDefault="006A1CDC" w:rsidP="00F20E4B">
      <w:pPr>
        <w:jc w:val="both"/>
      </w:pPr>
      <w:r w:rsidRPr="00286E49">
        <w:t>-</w:t>
      </w:r>
      <w:r w:rsidRPr="00286E49">
        <w:tab/>
        <w:t xml:space="preserve">którzy należąc do tej samej grupy kapitałowej, w rozumieniu ustawy z dnia 16 lutego </w:t>
      </w:r>
      <w:r w:rsidRPr="00286E49">
        <w:tab/>
        <w:t xml:space="preserve">2007 r. o ochronie konkurencji i konsumentów (Dz. U. z 2015 r. poz. 184, 1618 i </w:t>
      </w:r>
      <w:r w:rsidRPr="00286E49">
        <w:tab/>
        <w:t xml:space="preserve">1634), złożyli odrębne oferty, oferty częściowe lub wnioski o dopuszczenie do udziału </w:t>
      </w:r>
      <w:r w:rsidRPr="00286E49">
        <w:br/>
      </w:r>
      <w:r w:rsidRPr="00286E49">
        <w:tab/>
        <w:t xml:space="preserve">w postępowaniu, chyba że wykażą, że istniejące między nimi powiązania nie </w:t>
      </w:r>
      <w:r w:rsidRPr="00286E49">
        <w:tab/>
        <w:t>prowadzą do zakłócenia konkurencji w postępowaniu o udzielenie zamówienia.</w:t>
      </w:r>
    </w:p>
    <w:p w:rsidR="006A1CDC" w:rsidRPr="00286E49" w:rsidRDefault="006A1CDC" w:rsidP="004975D2">
      <w:pPr>
        <w:jc w:val="both"/>
      </w:pPr>
      <w:r w:rsidRPr="00286E49">
        <w:t>2.</w:t>
      </w:r>
      <w:r w:rsidRPr="00286E49">
        <w:tab/>
        <w:t>Zamawiający przewiduje wykluczenie Wykonawcy na podstawie art. 24 ust. 5 pkt 8 ustawy Pzp.</w:t>
      </w:r>
    </w:p>
    <w:p w:rsidR="006A1CDC" w:rsidRPr="00286E49" w:rsidRDefault="006A1CDC" w:rsidP="004975D2">
      <w:pPr>
        <w:jc w:val="both"/>
      </w:pPr>
      <w:r w:rsidRPr="00286E49">
        <w:t xml:space="preserve"> </w:t>
      </w:r>
    </w:p>
    <w:p w:rsidR="006A1CDC" w:rsidRPr="00286E49" w:rsidRDefault="006A1CDC" w:rsidP="00F20E4B">
      <w:pPr>
        <w:jc w:val="both"/>
      </w:pPr>
      <w:r w:rsidRPr="00286E49">
        <w:t xml:space="preserve">3. </w:t>
      </w:r>
      <w:r w:rsidRPr="00286E49">
        <w:tab/>
        <w:t xml:space="preserve">Zamawiający może, na każdym etapie postępowania, uznać, że wykonawca nie </w:t>
      </w:r>
      <w:r w:rsidRPr="00286E49">
        <w:tab/>
        <w:t xml:space="preserve">posiada wymaganych zdolności, jeżeli zaangażowanie zasobów technicznych lub </w:t>
      </w:r>
      <w:r w:rsidRPr="00286E49">
        <w:tab/>
        <w:t xml:space="preserve">zawodowych wykonawcy w inne przedsięwzięcia gospodarcze wykonawcy może </w:t>
      </w:r>
      <w:r w:rsidRPr="00286E49">
        <w:tab/>
        <w:t>mieć negatywny wpływ na realizację zamówienia.</w:t>
      </w:r>
    </w:p>
    <w:p w:rsidR="006A1CDC" w:rsidRPr="00286E49" w:rsidRDefault="006A1CDC" w:rsidP="00256161">
      <w:pPr>
        <w:ind w:left="709" w:hanging="709"/>
        <w:jc w:val="both"/>
      </w:pPr>
      <w:r w:rsidRPr="00286E49">
        <w:t>4.    Wykonawca, który podlega wykluczeniu na podstawie ust. 1 tiret 2 i 3 oraz ust. 1 tiret 5-9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A1CDC" w:rsidRPr="00286E49" w:rsidRDefault="006A1CDC" w:rsidP="0026067B">
      <w:pPr>
        <w:numPr>
          <w:ilvl w:val="0"/>
          <w:numId w:val="4"/>
        </w:numPr>
        <w:jc w:val="both"/>
      </w:pPr>
      <w:r w:rsidRPr="00286E49">
        <w:t>Wykonawca nie podlega wykluczeniu, jeżeli zamawiający, uwzględniając wagę i szczególne okoliczności czynu Wykonawcy, uzna za wystarczające dowody przedstawione na podstawie ust. 4 niniejszego rozdziału.</w:t>
      </w:r>
    </w:p>
    <w:p w:rsidR="006A1CDC" w:rsidRPr="00286E49" w:rsidRDefault="006A1CDC" w:rsidP="00F20E4B">
      <w:pPr>
        <w:numPr>
          <w:ilvl w:val="0"/>
          <w:numId w:val="4"/>
        </w:numPr>
        <w:jc w:val="both"/>
      </w:pPr>
      <w:r w:rsidRPr="00286E49">
        <w:t xml:space="preserve">W przypadkach, o których mowa w ust. 1 tiret 8, przed wykluczeniem Wykonawcy, zamawiający zapewnia temu Wykonawcy możliwość udowodnienia, że jego udział </w:t>
      </w:r>
      <w:r w:rsidRPr="00286E49">
        <w:br/>
        <w:t>w przygotowaniu postępowania o udzielenie zamówienia nie zakłóci konkurencji. Zamawiający wskazuje w protokole sposób zapewnienia konkurencji.</w:t>
      </w:r>
    </w:p>
    <w:p w:rsidR="006A1CDC" w:rsidRPr="00286E49" w:rsidRDefault="006A1CDC" w:rsidP="00F20E4B">
      <w:pPr>
        <w:numPr>
          <w:ilvl w:val="0"/>
          <w:numId w:val="4"/>
        </w:numPr>
        <w:jc w:val="both"/>
      </w:pPr>
      <w:r w:rsidRPr="00286E49">
        <w:t>Zamawiający może wykluczyć wykonawcę na każdym etapie postępowania o udzielenie zamówienia.</w:t>
      </w:r>
    </w:p>
    <w:p w:rsidR="006A1CDC" w:rsidRPr="00286E49" w:rsidRDefault="006A1CDC" w:rsidP="009C02E4"/>
    <w:p w:rsidR="006A1CDC" w:rsidRPr="00286E49" w:rsidRDefault="006A1CDC" w:rsidP="009C02E4"/>
    <w:p w:rsidR="006A1CDC" w:rsidRPr="00286E49" w:rsidRDefault="006A1CDC" w:rsidP="009C02E4">
      <w:pPr>
        <w:rPr>
          <w:b/>
          <w:bCs/>
        </w:rPr>
      </w:pPr>
      <w:r w:rsidRPr="00286E49">
        <w:rPr>
          <w:b/>
          <w:bCs/>
        </w:rPr>
        <w:t>Rozdział 12</w:t>
      </w:r>
    </w:p>
    <w:p w:rsidR="006A1CDC" w:rsidRPr="00286E49" w:rsidRDefault="006A1CDC" w:rsidP="009C02E4">
      <w:pPr>
        <w:rPr>
          <w:b/>
          <w:bCs/>
        </w:rPr>
      </w:pPr>
      <w:r w:rsidRPr="00286E49">
        <w:rPr>
          <w:b/>
          <w:bCs/>
        </w:rPr>
        <w:t>Wykaz oświadczeń lub  dokumentów potwierdzających  spełnienie warunków udziału w postępowaniu oraz brak podstaw wykluczenia.</w:t>
      </w:r>
    </w:p>
    <w:p w:rsidR="006A1CDC" w:rsidRPr="00286E49" w:rsidRDefault="006A1CDC" w:rsidP="009C02E4"/>
    <w:p w:rsidR="006A1CDC" w:rsidRPr="00286E49" w:rsidRDefault="006A1CDC" w:rsidP="009C02E4">
      <w:r w:rsidRPr="00286E49">
        <w:t>1. Do oferty wykonawca dołącza:</w:t>
      </w:r>
    </w:p>
    <w:p w:rsidR="006A1CDC" w:rsidRPr="00286E49" w:rsidRDefault="006A1CDC" w:rsidP="00F20E4B">
      <w:pPr>
        <w:jc w:val="both"/>
      </w:pPr>
    </w:p>
    <w:p w:rsidR="006A1CDC" w:rsidRPr="00286E49" w:rsidRDefault="006A1CDC" w:rsidP="002F3750">
      <w:pPr>
        <w:numPr>
          <w:ilvl w:val="0"/>
          <w:numId w:val="11"/>
        </w:numPr>
        <w:jc w:val="both"/>
      </w:pPr>
      <w:r w:rsidRPr="00286E49">
        <w:t>jednolity europejski dokument zamówienia,</w:t>
      </w:r>
    </w:p>
    <w:p w:rsidR="006A1CDC" w:rsidRPr="00286E49" w:rsidRDefault="006A1CDC" w:rsidP="00F20E4B">
      <w:pPr>
        <w:numPr>
          <w:ilvl w:val="0"/>
          <w:numId w:val="11"/>
        </w:numPr>
        <w:jc w:val="both"/>
      </w:pPr>
      <w:r w:rsidRPr="00286E49">
        <w:t>formularz ofertowy,</w:t>
      </w:r>
    </w:p>
    <w:p w:rsidR="006A1CDC" w:rsidRPr="00286E49" w:rsidRDefault="006A1CDC" w:rsidP="00C27275">
      <w:pPr>
        <w:numPr>
          <w:ilvl w:val="2"/>
          <w:numId w:val="11"/>
        </w:numPr>
        <w:ind w:left="720" w:hanging="720"/>
        <w:jc w:val="both"/>
      </w:pPr>
      <w:r w:rsidRPr="00286E49">
        <w:tab/>
        <w:t>Wykonawca, który powołuje się na zasoby innych podmiotów, w  celu wykazania braku istnienia wobec nich podstaw wykluczenia oraz spełniania, w zakresie, w jakim powołuje się na ich zasoby, warunków udziału w postępowaniu składa także jednolity dokument dotyczący tych podmiotów.</w:t>
      </w:r>
    </w:p>
    <w:p w:rsidR="006A1CDC" w:rsidRPr="00286E49" w:rsidRDefault="006A1CDC" w:rsidP="00C27275">
      <w:pPr>
        <w:numPr>
          <w:ilvl w:val="2"/>
          <w:numId w:val="11"/>
        </w:numPr>
        <w:ind w:left="720" w:hanging="720"/>
        <w:jc w:val="both"/>
      </w:pPr>
      <w:r w:rsidRPr="00286E49">
        <w:tab/>
        <w:t xml:space="preserve">W przypadku powierzenia przez Wykonawcę części zamówienia podwykonawcom w celu wykazania braku istnienia wobec nich podstaw wykluczenia z udziału w postępowaniu Wykonawca składa jednolite dokumenty dotyczące podwykonawców. </w:t>
      </w:r>
    </w:p>
    <w:p w:rsidR="006A1CDC" w:rsidRPr="00286E49" w:rsidRDefault="006A1CDC" w:rsidP="00C27275">
      <w:pPr>
        <w:numPr>
          <w:ilvl w:val="2"/>
          <w:numId w:val="11"/>
        </w:numPr>
        <w:ind w:left="720" w:hanging="720"/>
        <w:jc w:val="both"/>
      </w:pPr>
      <w:r w:rsidRPr="00286E49">
        <w:tab/>
        <w:t>W przypadku wspólnego ubiegania się o zamówienie przez wykonawców (konsorcjanci), jednolity dokument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A1CDC" w:rsidRPr="00286E49" w:rsidRDefault="006A1CDC" w:rsidP="00C27275">
      <w:pPr>
        <w:numPr>
          <w:ilvl w:val="2"/>
          <w:numId w:val="11"/>
        </w:numPr>
        <w:ind w:left="720" w:hanging="720"/>
        <w:jc w:val="both"/>
      </w:pPr>
      <w:r w:rsidRPr="00286E49">
        <w:ta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A1CDC" w:rsidRPr="00286E49" w:rsidRDefault="006A1CDC" w:rsidP="00C27275">
      <w:pPr>
        <w:numPr>
          <w:ilvl w:val="2"/>
          <w:numId w:val="11"/>
        </w:numPr>
        <w:ind w:left="720" w:hanging="720"/>
        <w:jc w:val="both"/>
      </w:pPr>
      <w:r w:rsidRPr="00286E49">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A1CDC" w:rsidRPr="00286E49" w:rsidRDefault="006A1CDC" w:rsidP="00C27275">
      <w:pPr>
        <w:numPr>
          <w:ilvl w:val="2"/>
          <w:numId w:val="11"/>
        </w:numPr>
        <w:ind w:left="720" w:hanging="720"/>
        <w:jc w:val="both"/>
      </w:pPr>
      <w:r w:rsidRPr="00286E49">
        <w:tab/>
        <w:t xml:space="preserve">Wykonawca zgodnie z art. 24 ust. 11 pzp - w terminie 3 dni od zamieszczenia na stronie internetowej informacji,  o której mowa w art. 86 ust. 5 pzp – tj: kwoty, jaką zamierza przeznaczyć na sfinansowanie zamówienia, firm oraz adresów wykonawców, którzy złożyli oferty w terminie; ceny, terminu wykonania zamówienia, okresu gwarancji  i warunków płatności zawartych w ofertach, -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w:t>
      </w:r>
      <w:r w:rsidRPr="00286E49">
        <w:br/>
        <w:t>o udzielenie zamówienia – załącznik nr 1 do SIWZ.</w:t>
      </w:r>
    </w:p>
    <w:p w:rsidR="006A1CDC" w:rsidRPr="00286E49" w:rsidRDefault="006A1CDC" w:rsidP="00C27275">
      <w:pPr>
        <w:numPr>
          <w:ilvl w:val="2"/>
          <w:numId w:val="11"/>
        </w:numPr>
        <w:ind w:left="720" w:hanging="720"/>
        <w:jc w:val="both"/>
      </w:pPr>
      <w:r w:rsidRPr="00286E49">
        <w:tab/>
        <w:t xml:space="preserve">Zamawiający przed udzieleniem zamówienia wezwie wykonawcę, którego oferta została najwyżej oceniona, do złożenia w wyznaczonym, </w:t>
      </w:r>
      <w:r w:rsidRPr="00286E49">
        <w:rPr>
          <w:u w:val="single"/>
        </w:rPr>
        <w:t xml:space="preserve">nie krótszym niż 10 dni, </w:t>
      </w:r>
      <w:r w:rsidRPr="00286E49">
        <w:t>terminie aktualnych na dzień złożenia następujących oświadczeń lub dokumentów:</w:t>
      </w:r>
    </w:p>
    <w:p w:rsidR="006A1CDC" w:rsidRPr="00286E49" w:rsidRDefault="006A1CDC" w:rsidP="002F3750">
      <w:pPr>
        <w:jc w:val="both"/>
      </w:pPr>
    </w:p>
    <w:p w:rsidR="006A1CDC" w:rsidRPr="00286E49" w:rsidRDefault="006A1CDC" w:rsidP="00F20E4B">
      <w:pPr>
        <w:jc w:val="both"/>
      </w:pPr>
    </w:p>
    <w:p w:rsidR="006A1CDC" w:rsidRPr="00286E49" w:rsidRDefault="006A1CDC" w:rsidP="00F20E4B">
      <w:pPr>
        <w:jc w:val="both"/>
      </w:pPr>
      <w:r w:rsidRPr="00286E49">
        <w:t>1)</w:t>
      </w:r>
      <w:r w:rsidRPr="00286E49">
        <w:tab/>
        <w:t xml:space="preserve">W celu potwierdzenia spełnienia przez Wykonawców warunków udziału </w:t>
      </w:r>
      <w:r w:rsidRPr="00286E49">
        <w:br/>
      </w:r>
      <w:r w:rsidRPr="00286E49">
        <w:tab/>
        <w:t>w postępowaniu Wykonawca składa na wezwanie:</w:t>
      </w:r>
    </w:p>
    <w:p w:rsidR="006A1CDC" w:rsidRPr="00286E49" w:rsidRDefault="006A1CDC" w:rsidP="00F20E4B">
      <w:pPr>
        <w:jc w:val="both"/>
      </w:pPr>
    </w:p>
    <w:p w:rsidR="006A1CDC" w:rsidRPr="00286E49" w:rsidRDefault="006A1CDC" w:rsidP="00F20E4B">
      <w:pPr>
        <w:jc w:val="both"/>
      </w:pPr>
      <w:r w:rsidRPr="00286E49">
        <w:t>-</w:t>
      </w:r>
      <w:r w:rsidRPr="00286E49">
        <w:tab/>
        <w:t xml:space="preserve">wykaz </w:t>
      </w:r>
      <w:r w:rsidRPr="00286E49">
        <w:rPr>
          <w:rFonts w:eastAsia="TimesNewRoman"/>
        </w:rPr>
        <w:t xml:space="preserve">dostaw wykonanych, w okresie ostatnich 3 lat przed upływem terminu </w:t>
      </w:r>
      <w:r w:rsidRPr="00286E49">
        <w:rPr>
          <w:rFonts w:eastAsia="TimesNewRoman"/>
        </w:rPr>
        <w:tab/>
        <w:t xml:space="preserve">składania ofert a jeżeli okres prowadzenia działalności jest krótszy – w tym okresie, </w:t>
      </w:r>
      <w:r w:rsidRPr="00286E49">
        <w:rPr>
          <w:rFonts w:eastAsia="TimesNewRoman"/>
        </w:rPr>
        <w:tab/>
        <w:t xml:space="preserve">wraz z podaniem ich wartości, przedmiotu, dat wykonania i podmiotów, na rzecz </w:t>
      </w:r>
      <w:r w:rsidRPr="00286E49">
        <w:rPr>
          <w:rFonts w:eastAsia="TimesNewRoman"/>
        </w:rPr>
        <w:tab/>
        <w:t xml:space="preserve">których dostawy zostały wykonane, oraz załączeniem dowodów określających czy te </w:t>
      </w:r>
      <w:r w:rsidRPr="00286E49">
        <w:rPr>
          <w:rFonts w:eastAsia="TimesNewRoman"/>
        </w:rPr>
        <w:tab/>
        <w:t xml:space="preserve">dostawy zostały wykonane należycie, przy czym dowodami, o których mowa, są </w:t>
      </w:r>
      <w:r w:rsidRPr="00286E49">
        <w:rPr>
          <w:rFonts w:eastAsia="TimesNewRoman"/>
        </w:rPr>
        <w:tab/>
        <w:t xml:space="preserve">referencje bądź inne dokumenty wystawione przez podmiot, na rzecz którego dostawy </w:t>
      </w:r>
      <w:r w:rsidRPr="00286E49">
        <w:rPr>
          <w:rFonts w:eastAsia="TimesNewRoman"/>
        </w:rPr>
        <w:tab/>
        <w:t xml:space="preserve">były wykonywane, a jeżeli z uzasadnionej przyczyny o obiektywnym charakterze </w:t>
      </w:r>
      <w:r w:rsidRPr="00286E49">
        <w:rPr>
          <w:rFonts w:eastAsia="TimesNewRoman"/>
        </w:rPr>
        <w:tab/>
        <w:t xml:space="preserve">wykonawca nie jest w stanie uzyskać tych dokumentów – oświadczenie Wykonawcy – </w:t>
      </w:r>
      <w:r w:rsidRPr="00286E49">
        <w:rPr>
          <w:rFonts w:eastAsia="TimesNewRoman"/>
        </w:rPr>
        <w:tab/>
        <w:t>załącznik nr 4 do SIWZ.</w:t>
      </w:r>
    </w:p>
    <w:p w:rsidR="006A1CDC" w:rsidRPr="00286E49" w:rsidRDefault="006A1CDC" w:rsidP="009C02E4"/>
    <w:p w:rsidR="006A1CDC" w:rsidRPr="00286E49" w:rsidRDefault="006A1CDC" w:rsidP="009C02E4">
      <w:r w:rsidRPr="00286E49">
        <w:t>-</w:t>
      </w:r>
      <w:r w:rsidRPr="00286E49">
        <w:tab/>
        <w:t xml:space="preserve">informację banku lub spółdzielczej kasy oszczędnościowo-kredytowej potwierdzającej </w:t>
      </w:r>
      <w:r w:rsidRPr="00286E49">
        <w:tab/>
        <w:t xml:space="preserve">wysokość posiadanych środków finansowych lub zdolność kredytową wykonawcy, w </w:t>
      </w:r>
      <w:r w:rsidRPr="00286E49">
        <w:tab/>
        <w:t>okresie nie wcześniejszym niż 1 miesiąc przed upływem terminu składania ofert,</w:t>
      </w:r>
    </w:p>
    <w:p w:rsidR="006A1CDC" w:rsidRPr="00286E49" w:rsidRDefault="006A1CDC" w:rsidP="009C02E4"/>
    <w:p w:rsidR="006A1CDC" w:rsidRPr="00286E49" w:rsidRDefault="006A1CDC" w:rsidP="00B11100">
      <w:r w:rsidRPr="00286E49">
        <w:t>2)</w:t>
      </w:r>
      <w:r w:rsidRPr="00286E49">
        <w:tab/>
        <w:t xml:space="preserve">W celu potwierdzenia braku podstaw wykluczenia wykonawca składa na wezwanie: </w:t>
      </w:r>
    </w:p>
    <w:p w:rsidR="006A1CDC" w:rsidRPr="00286E49" w:rsidRDefault="006A1CDC" w:rsidP="00F20E4B">
      <w:pPr>
        <w:jc w:val="both"/>
      </w:pPr>
    </w:p>
    <w:p w:rsidR="006A1CDC" w:rsidRPr="00286E49" w:rsidRDefault="006A1CDC" w:rsidP="00F20E4B">
      <w:pPr>
        <w:jc w:val="both"/>
        <w:rPr>
          <w:rFonts w:eastAsia="TimesNewRoman"/>
        </w:rPr>
      </w:pPr>
      <w:r w:rsidRPr="00286E49">
        <w:rPr>
          <w:rFonts w:eastAsia="TimesNewRoman"/>
        </w:rPr>
        <w:t>-</w:t>
      </w:r>
      <w:r w:rsidRPr="00286E49">
        <w:rPr>
          <w:rFonts w:eastAsia="TimesNewRoman"/>
        </w:rPr>
        <w:tab/>
        <w:t xml:space="preserve">informację z Krajowego Rejestru Karnego w zakresie określonym w art. 24 ust. 1 pkt </w:t>
      </w:r>
      <w:r w:rsidRPr="00286E49">
        <w:rPr>
          <w:rFonts w:eastAsia="TimesNewRoman"/>
        </w:rPr>
        <w:tab/>
        <w:t xml:space="preserve">13, 14 i 21 ustawy, wystawionej nie wcześniej niż 6 miesięcy przed upływem terminu </w:t>
      </w:r>
      <w:r w:rsidRPr="00286E49">
        <w:rPr>
          <w:rFonts w:eastAsia="TimesNewRoman"/>
        </w:rPr>
        <w:tab/>
        <w:t>składania ofert albo wniosków  o dopuszczenie do udziału w postępowaniu;</w:t>
      </w:r>
    </w:p>
    <w:p w:rsidR="006A1CDC" w:rsidRPr="00286E49" w:rsidRDefault="006A1CDC" w:rsidP="00F20E4B">
      <w:pPr>
        <w:jc w:val="both"/>
        <w:rPr>
          <w:rFonts w:eastAsia="TimesNewRoman"/>
        </w:rPr>
      </w:pPr>
    </w:p>
    <w:p w:rsidR="006A1CDC" w:rsidRPr="00286E49" w:rsidRDefault="006A1CDC" w:rsidP="00F20E4B">
      <w:pPr>
        <w:jc w:val="both"/>
        <w:rPr>
          <w:rFonts w:eastAsia="TimesNewRoman"/>
        </w:rPr>
      </w:pPr>
      <w:r w:rsidRPr="00286E49">
        <w:rPr>
          <w:rFonts w:eastAsia="TimesNewRoman"/>
        </w:rPr>
        <w:t>-</w:t>
      </w:r>
      <w:r w:rsidRPr="00286E49">
        <w:rPr>
          <w:rFonts w:eastAsia="TimesNewRoman"/>
        </w:rPr>
        <w:tab/>
        <w:t xml:space="preserve">zaświadczenie właściwego naczelnika urzędu skarbowego potwierdzającego, że </w:t>
      </w:r>
      <w:r w:rsidRPr="00286E49">
        <w:rPr>
          <w:rFonts w:eastAsia="TimesNewRoman"/>
        </w:rPr>
        <w:tab/>
        <w:t xml:space="preserve">wykonawca nie zalega z opłacaniem podatków, wystawionego nie wcześniej niż 3 </w:t>
      </w:r>
      <w:r w:rsidRPr="00286E49">
        <w:rPr>
          <w:rFonts w:eastAsia="TimesNewRoman"/>
        </w:rPr>
        <w:tab/>
        <w:t xml:space="preserve">miesiące przed upływem terminu składania ofert, lub innego dokumentu </w:t>
      </w:r>
      <w:r w:rsidRPr="00286E49">
        <w:rPr>
          <w:rFonts w:eastAsia="TimesNewRoman"/>
        </w:rPr>
        <w:tab/>
        <w:t xml:space="preserve">potwierdzającego, że wykonawca zawarł porozumienie z właściwym organem </w:t>
      </w:r>
      <w:r w:rsidRPr="00286E49">
        <w:rPr>
          <w:rFonts w:eastAsia="TimesNewRoman"/>
        </w:rPr>
        <w:tab/>
        <w:t xml:space="preserve">podatkowym w sprawie spłat tych należności wraz z ewentualnymi odsetkami lub </w:t>
      </w:r>
      <w:r w:rsidRPr="00286E49">
        <w:rPr>
          <w:rFonts w:eastAsia="TimesNewRoman"/>
        </w:rPr>
        <w:tab/>
        <w:t xml:space="preserve">grzywnami, w szczególności uzyskał przewidziane prawem zwolnienie, odroczenie </w:t>
      </w:r>
      <w:r w:rsidRPr="00286E49">
        <w:rPr>
          <w:rFonts w:eastAsia="TimesNewRoman"/>
        </w:rPr>
        <w:tab/>
        <w:t xml:space="preserve">lub rozłożenie na raty zaległych płatności lub wstrzymanie w całości wykonania </w:t>
      </w:r>
      <w:r w:rsidRPr="00286E49">
        <w:rPr>
          <w:rFonts w:eastAsia="TimesNewRoman"/>
        </w:rPr>
        <w:tab/>
        <w:t>decyzji właściwego organu;</w:t>
      </w:r>
    </w:p>
    <w:p w:rsidR="006A1CDC" w:rsidRPr="00286E49" w:rsidRDefault="006A1CDC" w:rsidP="00F20E4B">
      <w:pPr>
        <w:jc w:val="both"/>
        <w:rPr>
          <w:rFonts w:eastAsia="TimesNewRoman"/>
        </w:rPr>
      </w:pPr>
    </w:p>
    <w:p w:rsidR="006A1CDC" w:rsidRPr="00286E49" w:rsidRDefault="006A1CDC" w:rsidP="00F20E4B">
      <w:pPr>
        <w:jc w:val="both"/>
        <w:rPr>
          <w:rFonts w:eastAsia="TimesNewRoman"/>
        </w:rPr>
      </w:pPr>
      <w:r w:rsidRPr="00286E49">
        <w:rPr>
          <w:rFonts w:eastAsia="TimesNewRoman"/>
        </w:rPr>
        <w:t>-</w:t>
      </w:r>
      <w:r w:rsidRPr="00286E49">
        <w:rPr>
          <w:rFonts w:eastAsia="TimesNewRoman"/>
        </w:rPr>
        <w:tab/>
        <w:t xml:space="preserve">zaświadczenie właściwej terenowej jednostki organizacyjnej Zakładu Ubezpieczeń </w:t>
      </w:r>
      <w:r w:rsidRPr="00286E49">
        <w:rPr>
          <w:rFonts w:eastAsia="TimesNewRoman"/>
        </w:rPr>
        <w:tab/>
        <w:t xml:space="preserve">Społecznych lub Kasy Rolniczego Ubezpieczenia Społecznego albo innego </w:t>
      </w:r>
      <w:r w:rsidRPr="00286E49">
        <w:rPr>
          <w:rFonts w:eastAsia="TimesNewRoman"/>
        </w:rPr>
        <w:tab/>
        <w:t xml:space="preserve">dokumentu potwierdzającego, że wykonawca nie zalega z opłacaniem składek na </w:t>
      </w:r>
      <w:r w:rsidRPr="00286E49">
        <w:rPr>
          <w:rFonts w:eastAsia="TimesNewRoman"/>
        </w:rPr>
        <w:tab/>
        <w:t xml:space="preserve">ubezpieczenia społeczne lub zdrowotne, wystawionego nie wcześniej niż 3 miesiące </w:t>
      </w:r>
      <w:r w:rsidRPr="00286E49">
        <w:rPr>
          <w:rFonts w:eastAsia="TimesNewRoman"/>
        </w:rPr>
        <w:tab/>
        <w:t xml:space="preserve">przed upływem terminu składania ofert, lub innego dokumentu potwierdzającego, że </w:t>
      </w:r>
      <w:r w:rsidRPr="00286E49">
        <w:rPr>
          <w:rFonts w:eastAsia="TimesNewRoman"/>
        </w:rPr>
        <w:tab/>
        <w:t xml:space="preserve">wykonawca zawarł porozumienie z właściwym organem w sprawie spłat tych </w:t>
      </w:r>
      <w:r w:rsidRPr="00286E49">
        <w:rPr>
          <w:rFonts w:eastAsia="TimesNewRoman"/>
        </w:rPr>
        <w:tab/>
        <w:t xml:space="preserve">należności wraz z ewentualnymi odsetkami lub grzywnami, w szczególności uzyskał </w:t>
      </w:r>
      <w:r w:rsidRPr="00286E49">
        <w:rPr>
          <w:rFonts w:eastAsia="TimesNewRoman"/>
        </w:rPr>
        <w:tab/>
        <w:t xml:space="preserve">przewidziane prawem zwolnienie, odroczenie lub rozłożenie na raty zaległych </w:t>
      </w:r>
      <w:r w:rsidRPr="00286E49">
        <w:rPr>
          <w:rFonts w:eastAsia="TimesNewRoman"/>
        </w:rPr>
        <w:tab/>
        <w:t>płatności lub wstrzymanie w całości wykonania decyzji właściwego organu;</w:t>
      </w:r>
    </w:p>
    <w:p w:rsidR="006A1CDC" w:rsidRPr="00286E49" w:rsidRDefault="006A1CDC" w:rsidP="00F20E4B">
      <w:pPr>
        <w:jc w:val="both"/>
        <w:rPr>
          <w:rFonts w:eastAsia="TimesNewRoman"/>
        </w:rPr>
      </w:pPr>
      <w:r w:rsidRPr="00286E49">
        <w:rPr>
          <w:rFonts w:eastAsia="TimesNewRoman"/>
        </w:rPr>
        <w:tab/>
      </w:r>
    </w:p>
    <w:p w:rsidR="006A1CDC" w:rsidRPr="00286E49" w:rsidRDefault="006A1CDC" w:rsidP="00F20E4B">
      <w:pPr>
        <w:jc w:val="both"/>
        <w:rPr>
          <w:rFonts w:eastAsia="TimesNewRoman"/>
        </w:rPr>
      </w:pPr>
      <w:r w:rsidRPr="00286E49">
        <w:rPr>
          <w:rFonts w:eastAsia="TimesNewRoman"/>
        </w:rPr>
        <w:t>-</w:t>
      </w:r>
      <w:r w:rsidRPr="00286E49">
        <w:rPr>
          <w:rFonts w:eastAsia="TimesNewRoman"/>
        </w:rPr>
        <w:tab/>
        <w:t xml:space="preserve">oświadczenie wykonawcy o braku orzeczenia wobec niego tytułem środka </w:t>
      </w:r>
      <w:r w:rsidRPr="00286E49">
        <w:rPr>
          <w:rFonts w:eastAsia="TimesNewRoman"/>
        </w:rPr>
        <w:br/>
      </w:r>
      <w:r w:rsidRPr="00286E49">
        <w:rPr>
          <w:rFonts w:eastAsia="TimesNewRoman"/>
        </w:rPr>
        <w:tab/>
        <w:t xml:space="preserve">zapobiegawczego zakazu ubiegania się o zamówienia publiczne – załącznik nr 3 do </w:t>
      </w:r>
      <w:r w:rsidRPr="00286E49">
        <w:rPr>
          <w:rFonts w:eastAsia="TimesNewRoman"/>
        </w:rPr>
        <w:tab/>
        <w:t>SIWZ</w:t>
      </w:r>
      <w:r>
        <w:rPr>
          <w:rFonts w:eastAsia="TimesNewRoman"/>
        </w:rPr>
        <w:t>;</w:t>
      </w:r>
    </w:p>
    <w:p w:rsidR="006A1CDC" w:rsidRDefault="006A1CDC" w:rsidP="006A66A2">
      <w:pPr>
        <w:ind w:left="705" w:hanging="705"/>
        <w:jc w:val="both"/>
        <w:rPr>
          <w:rFonts w:eastAsia="TimesNewRoman"/>
        </w:rPr>
      </w:pPr>
      <w:r w:rsidRPr="00286E49">
        <w:rPr>
          <w:rFonts w:eastAsia="TimesNewRoman"/>
        </w:rPr>
        <w:t>-</w:t>
      </w:r>
      <w:r w:rsidRPr="00286E49">
        <w:rPr>
          <w:rFonts w:eastAsia="TimesNewRoman"/>
        </w:rPr>
        <w:tab/>
        <w:t>oświadczenie wykonawcy  niezaleganiu z opłacaniem podatków i opłat lokalnych,  o których mowa w ustawie z dnia 12 stycznia 1991r. o podatkach  opłatach lokalnych (Dz.U. z 2016r. poz.716)</w:t>
      </w:r>
      <w:r>
        <w:rPr>
          <w:rFonts w:eastAsia="TimesNewRoman"/>
        </w:rPr>
        <w:t>;</w:t>
      </w:r>
    </w:p>
    <w:p w:rsidR="006A1CDC" w:rsidRPr="004E391A" w:rsidRDefault="006A1CDC" w:rsidP="006A66A2">
      <w:pPr>
        <w:ind w:left="705" w:hanging="705"/>
        <w:jc w:val="both"/>
        <w:rPr>
          <w:rFonts w:eastAsia="TimesNewRoman"/>
          <w:b/>
          <w:bCs/>
        </w:rPr>
      </w:pPr>
      <w:r w:rsidRPr="004E391A">
        <w:rPr>
          <w:rFonts w:eastAsia="TimesNewRoman"/>
          <w:b/>
          <w:bCs/>
        </w:rPr>
        <w:t>-</w:t>
      </w:r>
      <w:r w:rsidRPr="004E391A">
        <w:rPr>
          <w:rFonts w:eastAsia="TimesNewRoman"/>
          <w:b/>
          <w:bCs/>
        </w:rPr>
        <w:tab/>
      </w:r>
      <w:r w:rsidRPr="004E391A">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A1CDC" w:rsidRPr="00DD0B23" w:rsidRDefault="006A1CDC" w:rsidP="00F20E4B">
      <w:pPr>
        <w:jc w:val="both"/>
        <w:rPr>
          <w:rFonts w:eastAsia="TimesNewRoman"/>
          <w:b/>
          <w:bCs/>
          <w:color w:val="C0504D"/>
        </w:rPr>
      </w:pPr>
    </w:p>
    <w:p w:rsidR="006A1CDC" w:rsidRPr="00286E49" w:rsidRDefault="006A1CDC" w:rsidP="00B11100">
      <w:pPr>
        <w:numPr>
          <w:ilvl w:val="0"/>
          <w:numId w:val="30"/>
        </w:numPr>
        <w:jc w:val="both"/>
      </w:pPr>
      <w:r w:rsidRPr="00286E49">
        <w:t>dokumenty potwierdzające spełnianie przez oferowane dostawy wymagania określone przez zamawiającego   na podst. art. 25 ust. 1 pkt 2 pzp. w związku z paragrafem 13 ust. 1 Rozporządzenia Ministra Rozwoju w sprawie rodzajów dokumentów  jakich może żądać Zamawiający na wezwanie tj:</w:t>
      </w:r>
    </w:p>
    <w:p w:rsidR="006A1CDC" w:rsidRPr="00286E49" w:rsidRDefault="006A1CDC" w:rsidP="00B11100">
      <w:pPr>
        <w:jc w:val="both"/>
      </w:pPr>
    </w:p>
    <w:p w:rsidR="006A1CDC" w:rsidRPr="00286E49" w:rsidRDefault="006A1CDC" w:rsidP="00B11100">
      <w:pPr>
        <w:numPr>
          <w:ilvl w:val="1"/>
          <w:numId w:val="29"/>
        </w:numPr>
        <w:jc w:val="both"/>
      </w:pPr>
      <w:r w:rsidRPr="00286E49">
        <w:t>kopię świadectwa homologacji typu pojazdu (kompletny dokument łącznie z pełnym opisem technicznym typu pojazdu),</w:t>
      </w:r>
    </w:p>
    <w:p w:rsidR="006A1CDC" w:rsidRPr="00286E49" w:rsidRDefault="006A1CDC" w:rsidP="00B11100">
      <w:pPr>
        <w:numPr>
          <w:ilvl w:val="1"/>
          <w:numId w:val="29"/>
        </w:numPr>
        <w:jc w:val="both"/>
      </w:pPr>
      <w:r w:rsidRPr="00286E49">
        <w:t>kopię zaświadczenia niezależnego podmiotu lub kopie certyfikatu wydanego przez jednostkę oceniającą potwierdzającą, że autobusy charakteryzują się poziomem emisji dwutlenku węgla CO2 nie większym niż 780 g/km dla Części I  i 520 g/km dla Części II,</w:t>
      </w:r>
    </w:p>
    <w:p w:rsidR="006A1CDC" w:rsidRPr="00286E49" w:rsidRDefault="006A1CDC" w:rsidP="00B11100">
      <w:pPr>
        <w:numPr>
          <w:ilvl w:val="1"/>
          <w:numId w:val="29"/>
        </w:numPr>
        <w:jc w:val="both"/>
      </w:pPr>
      <w:r w:rsidRPr="00286E49">
        <w:t>kopię zaświadczenia niezależnego podmiotu lub kopie certyfikatu wydanego przez jednostkę oceniającą potwierdzająca, że autobusy charakteryzują się zużyciem energii w okresie pełnego cyklu użytkowania i warunkach testu SORT-2 w ilości nie większej niż 8 640 000 MJ dla Części I i 5 760 000 MJ  dla Części II,</w:t>
      </w:r>
    </w:p>
    <w:p w:rsidR="006A1CDC" w:rsidRPr="00286E49" w:rsidRDefault="006A1CDC" w:rsidP="00B11100">
      <w:pPr>
        <w:numPr>
          <w:ilvl w:val="1"/>
          <w:numId w:val="29"/>
        </w:numPr>
        <w:jc w:val="both"/>
      </w:pPr>
      <w:r w:rsidRPr="00286E49">
        <w:t xml:space="preserve"> kopię Raportu Technicznego drogowego zużycia paliwa (test SORT 2) przez oferowany autobus, </w:t>
      </w:r>
    </w:p>
    <w:p w:rsidR="006A1CDC" w:rsidRPr="00286E49" w:rsidRDefault="006A1CDC" w:rsidP="00B11100">
      <w:pPr>
        <w:numPr>
          <w:ilvl w:val="1"/>
          <w:numId w:val="29"/>
        </w:numPr>
        <w:jc w:val="both"/>
      </w:pPr>
      <w:r w:rsidRPr="00286E49">
        <w:t>rysunki lub schematy lub projekty wnętrza autobusu, na których widoczny będzie układ siedzeń.</w:t>
      </w:r>
    </w:p>
    <w:p w:rsidR="006A1CDC" w:rsidRPr="00286E49" w:rsidRDefault="006A1CDC" w:rsidP="00F20E4B">
      <w:pPr>
        <w:jc w:val="both"/>
        <w:rPr>
          <w:rFonts w:eastAsia="TimesNewRoman"/>
        </w:rPr>
      </w:pPr>
    </w:p>
    <w:p w:rsidR="006A1CDC" w:rsidRPr="00286E49" w:rsidRDefault="006A1CDC" w:rsidP="00F20E4B">
      <w:pPr>
        <w:jc w:val="both"/>
        <w:rPr>
          <w:rFonts w:eastAsia="TimesNewRoman"/>
        </w:rPr>
      </w:pPr>
    </w:p>
    <w:p w:rsidR="006A1CDC" w:rsidRPr="00DD0B23" w:rsidRDefault="006A1CDC" w:rsidP="002F3750">
      <w:pPr>
        <w:ind w:left="397" w:hanging="397"/>
        <w:jc w:val="both"/>
      </w:pPr>
      <w:r w:rsidRPr="00DD0B23">
        <w:rPr>
          <w:rFonts w:eastAsia="TimesNewRoman"/>
        </w:rPr>
        <w:t xml:space="preserve">9. </w:t>
      </w:r>
      <w:r w:rsidRPr="00DD0B23">
        <w:t>Zamawiający żąda od Wykonawcy, który polega na zdolnościach lub sytuacji innych podmiotów na zasadach określonych w art. 22a Pzp, przedstawienia w odniesieniu do tych podmiotów dokumentów wymienionych  w rozdziale 12 ust. 8 pkt 2 tiret 1-6.</w:t>
      </w:r>
      <w:r w:rsidRPr="00DD0B23">
        <w:rPr>
          <w:rFonts w:eastAsia="TimesNewRoman"/>
        </w:rPr>
        <w:t xml:space="preserve"> </w:t>
      </w:r>
      <w:r w:rsidRPr="00DD0B23">
        <w:t>Zamawiający żąda od Wykonawcy przedstawienia dokumentów wymienionych w rozdziale 12 ust. 8 pkt. 2 tiret 1-6 dotyczących podwykonawcy, któremu zamierza powierzyć Wykonanie części zamówienia,  a który nie jest podmiotem, na którego zdolnościach lub sytuacji wykonawca polega na zasadach określonych w art. 22a Pzp.</w:t>
      </w:r>
    </w:p>
    <w:p w:rsidR="006A1CDC" w:rsidRPr="00286E49" w:rsidRDefault="006A1CDC" w:rsidP="002F3750">
      <w:pPr>
        <w:ind w:left="360" w:hanging="794"/>
        <w:jc w:val="both"/>
      </w:pPr>
      <w:r w:rsidRPr="00286E49">
        <w:t xml:space="preserve">10. </w:t>
      </w:r>
      <w:r w:rsidRPr="00286E49">
        <w:tab/>
        <w:t>Jeżeli treść informacji przekazanych przez wykonawcę w jednolitym europejskim dokumencie zamówienia, odpowiada zakresowi informacji, których zamawiający wymaga poprzez żądanie dokumentów, w szczególności o których mowa w rozdziale 12 ust. 8 pkt 1 tiret 2 SIWZ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europejskim dokumencie zamówienia.</w:t>
      </w:r>
    </w:p>
    <w:p w:rsidR="006A1CDC" w:rsidRPr="00286E49" w:rsidRDefault="006A1CDC" w:rsidP="00C27275">
      <w:pPr>
        <w:ind w:left="360" w:hanging="794"/>
        <w:jc w:val="both"/>
      </w:pPr>
      <w:r w:rsidRPr="00286E49">
        <w:t>11.</w:t>
      </w:r>
      <w:r w:rsidRPr="00286E49">
        <w:rPr>
          <w:rFonts w:eastAsia="TimesNewRoman"/>
        </w:rPr>
        <w:t xml:space="preserve"> </w:t>
      </w:r>
      <w:r w:rsidRPr="00286E49">
        <w:rPr>
          <w:rFonts w:eastAsia="TimesNewRoman"/>
        </w:rPr>
        <w:tab/>
      </w:r>
      <w:r w:rsidRPr="00286E49">
        <w:t xml:space="preserve">Jeżeli z uzasadnionej przyczyny wykonawca nie może złożyć wymaganych przez zamawiającego dokumentów, o których mowa w rozdziale 12 ust. 8 pkt. 1 tiret 2 SIWZ, zamawiający dopuszcza złożenie przez wykonawcę innych odpowiednich dokumentów </w:t>
      </w:r>
      <w:r w:rsidRPr="00286E49">
        <w:br/>
        <w:t>w celu potwierdzenia spełniania warunków udziału w postępowaniu.</w:t>
      </w:r>
    </w:p>
    <w:p w:rsidR="006A1CDC" w:rsidRPr="00286E49" w:rsidRDefault="006A1CDC" w:rsidP="00C27275">
      <w:pPr>
        <w:ind w:left="360" w:hanging="794"/>
        <w:jc w:val="both"/>
      </w:pPr>
      <w:r w:rsidRPr="00286E49">
        <w:t xml:space="preserve">12. </w:t>
      </w:r>
      <w:r w:rsidRPr="00286E49">
        <w:tab/>
        <w:t xml:space="preserve">Jeżeli wykaz, oświadczenia lub inne złożone przez wykonawcę dokumenty, o których mowa w rozdziale 12 ust. 8  pkt. 1 SIWZ budzą wątpliwości zamawiającego, może  on zwrócić się bezpośrednio do właściwego podmiotu, na rzecz którego dostawy były, a </w:t>
      </w:r>
      <w:r w:rsidRPr="00286E49">
        <w:br/>
        <w:t>w przypadku świadczeń okresowych lub ciągłych, są nadal wykonywane, o dodatkowe informacje lub dokumenty w tym zakresie.</w:t>
      </w:r>
    </w:p>
    <w:p w:rsidR="006A1CDC" w:rsidRPr="00286E49" w:rsidRDefault="006A1CDC" w:rsidP="00C27275">
      <w:pPr>
        <w:ind w:left="360" w:hanging="794"/>
        <w:jc w:val="both"/>
      </w:pPr>
      <w:r w:rsidRPr="00286E49">
        <w:t xml:space="preserve">13. </w:t>
      </w:r>
      <w:r w:rsidRPr="00286E49">
        <w:tab/>
      </w:r>
      <w:r w:rsidRPr="00286E49">
        <w:rPr>
          <w:rFonts w:eastAsia="TimesNewRoman"/>
        </w:rPr>
        <w:t>Jeżeli wykonawca ma siedzibę lub miejsce zamieszkania poza terytorium Rzeczypospolitej Polskiej, zamiast dokumentów, o których mowa w  rozdziale 12 ust. 8 pkt. 2 tiret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przy czym dokument ten winien być wystawiony nie wcześniej niż  6 miesięcy przed upływem terminu składania ofert.</w:t>
      </w:r>
    </w:p>
    <w:p w:rsidR="006A1CDC" w:rsidRPr="00286E49" w:rsidRDefault="006A1CDC" w:rsidP="00C27275">
      <w:pPr>
        <w:ind w:left="360" w:hanging="794"/>
        <w:jc w:val="both"/>
        <w:rPr>
          <w:rFonts w:eastAsia="TimesNewRoman"/>
        </w:rPr>
      </w:pPr>
      <w:r w:rsidRPr="00286E49">
        <w:t xml:space="preserve">14. </w:t>
      </w:r>
      <w:r w:rsidRPr="00286E49">
        <w:rPr>
          <w:rFonts w:eastAsia="TimesNewRoman"/>
        </w:rPr>
        <w:tab/>
        <w:t xml:space="preserve">Jeżeli wykonawca ma siedzibę lub miejsce zamieszkania poza terytorium Rzeczypospolitej Polskiej, zamiast dokumentów, o których mowa w  rozdziale 12 ust. 8 pkt. 2 tiret 2-3 SIWZ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w:t>
      </w:r>
      <w:r w:rsidRPr="00286E49">
        <w:rPr>
          <w:rFonts w:eastAsia="TimesNewRoman"/>
        </w:rPr>
        <w:br/>
        <w:t>z ewentualnymi odsetkami lub grzywnami, w szczególności uzyskał przewidziane prawem zwolnienie, odroczenie lub rozłożenie na raty zaległych płatności lub wstrzymanie w całości wykonania decyzji właściwego organu, nie otwarto jego likwidacji ani nie ogłoszono upadłości – przy czym dokument, o którym mowa  w  rozdziale 12 ust. 8 pkt. 2 tiret 2-3 SIWZ  winien być wystawiony nie wcześniej niż 3 miesięcy przed upływem terminu składania ofert  a dokument, o którym mowa  w  rozdziale 12 ust. 8 pkt. 2 tiret 1 SIWZ  winien być wystawiony nie wcześniej niż 6 miesięcy przed upływem terminu składania ofert.</w:t>
      </w:r>
    </w:p>
    <w:p w:rsidR="006A1CDC" w:rsidRPr="00286E49" w:rsidRDefault="006A1CDC" w:rsidP="00C27275">
      <w:pPr>
        <w:ind w:left="360" w:hanging="794"/>
        <w:jc w:val="both"/>
      </w:pPr>
      <w:r w:rsidRPr="00286E49">
        <w:rPr>
          <w:rFonts w:eastAsia="TimesNewRoman"/>
        </w:rPr>
        <w:t xml:space="preserve">15. </w:t>
      </w:r>
      <w:r w:rsidRPr="00286E49">
        <w:rPr>
          <w:rFonts w:eastAsia="TimesNewRoman"/>
        </w:rPr>
        <w:tab/>
      </w:r>
      <w:r w:rsidRPr="00286E49">
        <w:t>Jeżeli w kraju, w którym wykonawca ma siedzibę lub miejsce zamieszkania lub w kraju, w którym miejsce zamieszkania mają osoby, nie wydaje się dokumentów, o których mowa w rozdziale 12 ust. 8 pkt 2)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ze względu na siedzibę lub miejsce zamieszkania tej osoby.</w:t>
      </w:r>
    </w:p>
    <w:p w:rsidR="006A1CDC" w:rsidRPr="00286E49" w:rsidRDefault="006A1CDC" w:rsidP="00C27275">
      <w:pPr>
        <w:ind w:left="360" w:hanging="794"/>
        <w:jc w:val="both"/>
        <w:rPr>
          <w:rFonts w:eastAsia="TimesNewRoman"/>
        </w:rPr>
      </w:pPr>
      <w:r w:rsidRPr="00286E49">
        <w:t xml:space="preserve">16. </w:t>
      </w:r>
      <w:r w:rsidRPr="00286E49">
        <w:rPr>
          <w:rFonts w:eastAsia="TimesNewRoman"/>
        </w:rPr>
        <w:tab/>
        <w:t>W przypadku wątpliwości co do treści dokumentów określonych powyżej, złożonych przez wykonawcę, zamawiający może zwrócić się do</w:t>
      </w:r>
      <w:r w:rsidRPr="00286E49">
        <w:t xml:space="preserve"> </w:t>
      </w:r>
      <w:r w:rsidRPr="00286E49">
        <w:rPr>
          <w:rFonts w:eastAsia="TimesNewRoman"/>
        </w:rPr>
        <w:t>właściwych organów odpowiednio kraju,  w którym wykonawca ma siedzibę lub miejsce zamieszkania lub miejsce zamieszkania ma osoba, której dokument dotyczy, o udzielenie niezbędnych informacji dotyczących tego dokumentu.</w:t>
      </w:r>
    </w:p>
    <w:p w:rsidR="006A1CDC" w:rsidRPr="00286E49" w:rsidRDefault="006A1CDC" w:rsidP="00C27275">
      <w:pPr>
        <w:ind w:left="360" w:hanging="794"/>
        <w:jc w:val="both"/>
        <w:rPr>
          <w:rFonts w:eastAsia="TimesNewRoman"/>
        </w:rPr>
      </w:pPr>
      <w:r w:rsidRPr="00286E49">
        <w:t>17.</w:t>
      </w:r>
      <w:r w:rsidRPr="00286E49">
        <w:rPr>
          <w:rFonts w:eastAsia="TimesNewRoman"/>
        </w:rPr>
        <w:t xml:space="preserve"> </w:t>
      </w:r>
      <w:r w:rsidRPr="00286E49">
        <w:rPr>
          <w:rFonts w:eastAsia="TimesNewRoman"/>
        </w:rPr>
        <w:tab/>
        <w:t xml:space="preserve">Wykonawca mający siedzibę na terytorium Rzeczypospolitej Polskiej, w odniesieniu do osoby mającej miejsce zamieszkania poza terytorium Rzeczypospolitej Polskiej, której dotyczy dokument wskazany w rozdziale 12  ust. 8 pkt. 2 tiret 1  SIWZ, składa dokument, o którym mowa w rozdziale 12 ust. 8 pkt. 5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6A1CDC" w:rsidRPr="00286E49" w:rsidRDefault="006A1CDC" w:rsidP="00C27275">
      <w:pPr>
        <w:ind w:left="360" w:hanging="794"/>
        <w:jc w:val="both"/>
        <w:rPr>
          <w:rFonts w:eastAsia="TimesNewRoman"/>
        </w:rPr>
      </w:pPr>
      <w:r w:rsidRPr="00286E49">
        <w:rPr>
          <w:rFonts w:eastAsia="TimesNewRoman"/>
        </w:rPr>
        <w:t xml:space="preserve">18. </w:t>
      </w:r>
      <w:r w:rsidRPr="00286E49">
        <w:rPr>
          <w:rFonts w:eastAsia="TimesNewRoman"/>
        </w:rPr>
        <w:tab/>
        <w:t>W przypadku wątpliwości co do treści dokumentu określonego powyżej złożonego przez wykonawcę, zamawiający może zwrócić się do właściwych organów kraju, w którym miejsce zamieszkania ma osoba, której dokument dotyczy, o udzielenie niezbędnych informacji dotyczących tego dokumentu.</w:t>
      </w:r>
    </w:p>
    <w:p w:rsidR="006A1CDC" w:rsidRPr="00286E49" w:rsidRDefault="006A1CDC" w:rsidP="00C27275">
      <w:pPr>
        <w:ind w:left="360" w:hanging="794"/>
        <w:jc w:val="both"/>
      </w:pPr>
      <w:r w:rsidRPr="00286E49">
        <w:rPr>
          <w:rFonts w:eastAsia="TimesNewRoman"/>
        </w:rPr>
        <w:t xml:space="preserve">19. </w:t>
      </w:r>
      <w:r w:rsidRPr="00286E49">
        <w:rPr>
          <w:rFonts w:eastAsia="TimesNewRoman"/>
        </w:rPr>
        <w:tab/>
      </w:r>
      <w:r w:rsidRPr="00286E49">
        <w:t xml:space="preserve">W przypadku wskazania przez wykonawcę oświadczeń lub dokumentów, o których mowa w ust. 8 niniejszego rozdziału , które znajdują się w dyspozycji zamawiającego, </w:t>
      </w:r>
      <w:r w:rsidRPr="00286E49">
        <w:br/>
        <w:t>w szczególności oświadczeń lub dokumentów, przechowywanych przez zamawiającego stosownie do dyspozycji art. 97 ust. 1 ustawy, zamawiający w celu potwierdzenia okoliczności, o których mowa w art. 25 ust. 1 pkt. 1 i 3 ustawy, korzysta z posiadanych oświadczeń lub dokumentów.</w:t>
      </w:r>
    </w:p>
    <w:p w:rsidR="006A1CDC" w:rsidRPr="00286E49" w:rsidRDefault="006A1CDC" w:rsidP="00C27275">
      <w:pPr>
        <w:ind w:left="360" w:hanging="794"/>
        <w:jc w:val="both"/>
        <w:rPr>
          <w:rFonts w:eastAsia="TimesNewRoman"/>
        </w:rPr>
      </w:pPr>
      <w:r w:rsidRPr="00286E49">
        <w:rPr>
          <w:rFonts w:eastAsia="TimesNewRoman"/>
        </w:rPr>
        <w:t xml:space="preserve">20. </w:t>
      </w:r>
      <w:r w:rsidRPr="00286E49">
        <w:rPr>
          <w:rFonts w:eastAsia="TimesNewRoman"/>
        </w:rPr>
        <w:tab/>
        <w:t>W celu oceny, czy wykonawca polegając na zdolnościach lub sytuacji innych podmiotów na zasadach określonych</w:t>
      </w:r>
      <w:r w:rsidRPr="00286E49">
        <w:t xml:space="preserve"> </w:t>
      </w:r>
      <w:r w:rsidRPr="00286E49">
        <w:rPr>
          <w:rFonts w:eastAsia="TimesNewRoman"/>
        </w:rPr>
        <w:t>w art. 22a ustawy, będzie dysponował niezbędnymi zasobami w stopniu umożliwiającym należyte Wykonanie</w:t>
      </w:r>
      <w:r w:rsidRPr="00286E49">
        <w:t xml:space="preserve"> </w:t>
      </w:r>
      <w:r w:rsidRPr="00286E49">
        <w:rPr>
          <w:rFonts w:eastAsia="TimesNewRoman"/>
        </w:rPr>
        <w:t>zamówienia publicznego oraz oceny, czy stosunek łączący wykonawcę z tymi podmiotami gwarantuje rzeczywisty dostęp do ich zasobów, zamawiający żąda dokumentów, które określają w szczególności: zakres dostępnych Wykonawcy zasobów innego podmiotu;</w:t>
      </w:r>
      <w:r w:rsidRPr="00286E49">
        <w:t xml:space="preserve"> </w:t>
      </w:r>
      <w:r w:rsidRPr="00286E49">
        <w:rPr>
          <w:rFonts w:eastAsia="TimesNewRoman"/>
        </w:rPr>
        <w:t>sposób wykorzystania zasobów innego podmiotu, przez wykonawcę, przy wykonywaniu zamówienia publicznego;</w:t>
      </w:r>
      <w:r w:rsidRPr="00286E49">
        <w:t xml:space="preserve"> </w:t>
      </w:r>
      <w:r w:rsidRPr="00286E49">
        <w:rPr>
          <w:rFonts w:eastAsia="TimesNewRoman"/>
        </w:rPr>
        <w:t xml:space="preserve">zakres i okres udziału innego podmiotu przy wykonywaniu zamówienia publicznego; czy podmiot, na zdolnościach którego wykonawca polega w odniesieniu do warunków udziału </w:t>
      </w:r>
      <w:r w:rsidRPr="00286E49">
        <w:rPr>
          <w:rFonts w:eastAsia="TimesNewRoman"/>
        </w:rPr>
        <w:br/>
        <w:t>w postępowaniu zrealizuje świadczenie, których wskazane zdolności dotyczą.</w:t>
      </w:r>
    </w:p>
    <w:p w:rsidR="006A1CDC" w:rsidRPr="00286E49" w:rsidRDefault="006A1CDC" w:rsidP="00C27275">
      <w:pPr>
        <w:ind w:left="360" w:hanging="794"/>
        <w:jc w:val="both"/>
        <w:rPr>
          <w:rFonts w:eastAsia="TimesNewRoman"/>
        </w:rPr>
      </w:pPr>
      <w:r w:rsidRPr="00286E49">
        <w:rPr>
          <w:rFonts w:eastAsia="TimesNewRoman"/>
        </w:rPr>
        <w:t xml:space="preserve">21. </w:t>
      </w:r>
      <w:r w:rsidRPr="00286E49">
        <w:rPr>
          <w:rFonts w:eastAsia="TimesNewRoman"/>
        </w:rPr>
        <w:tab/>
        <w:t xml:space="preserve">Oświadczenia, o których mowa w rozdziale 12 ust. 8 SIWZ dotyczące Wykonawcy </w:t>
      </w:r>
      <w:r w:rsidRPr="00286E49">
        <w:rPr>
          <w:rFonts w:eastAsia="TimesNewRoman"/>
        </w:rPr>
        <w:br/>
        <w:t>i innych podmiotów,  na których</w:t>
      </w:r>
      <w:r w:rsidRPr="00286E49">
        <w:t xml:space="preserve"> </w:t>
      </w:r>
      <w:r w:rsidRPr="00286E49">
        <w:rPr>
          <w:rFonts w:eastAsia="TimesNewRoman"/>
        </w:rPr>
        <w:t>zdolnościach lub sytuacji polega wykonawca na zasadach określonych w art. 22a ustawy oraz dotyczące podwykonawców, składane są w oryginale.</w:t>
      </w:r>
    </w:p>
    <w:p w:rsidR="006A1CDC" w:rsidRPr="00286E49" w:rsidRDefault="006A1CDC" w:rsidP="00C27275">
      <w:pPr>
        <w:ind w:left="360" w:hanging="794"/>
        <w:jc w:val="both"/>
        <w:rPr>
          <w:rFonts w:eastAsia="TimesNewRoman"/>
        </w:rPr>
      </w:pPr>
      <w:r w:rsidRPr="00286E49">
        <w:rPr>
          <w:rFonts w:eastAsia="TimesNewRoman"/>
        </w:rPr>
        <w:t xml:space="preserve">22. </w:t>
      </w:r>
      <w:r w:rsidRPr="00286E49">
        <w:rPr>
          <w:rFonts w:eastAsia="TimesNewRoman"/>
        </w:rPr>
        <w:tab/>
        <w:t>Dokumenty, o których mowa w rozdziale 12 ust. 8 SIWZ, inne niż oświadczenia, składane są</w:t>
      </w:r>
      <w:r w:rsidRPr="00286E49">
        <w:t xml:space="preserve"> </w:t>
      </w:r>
      <w:r w:rsidRPr="00286E49">
        <w:rPr>
          <w:rFonts w:eastAsia="TimesNewRoman"/>
        </w:rPr>
        <w:t>w oryginale lub kopii poświadczonej za zgodność z oryginałem.</w:t>
      </w:r>
    </w:p>
    <w:p w:rsidR="006A1CDC" w:rsidRPr="00286E49" w:rsidRDefault="006A1CDC" w:rsidP="00C27275">
      <w:pPr>
        <w:ind w:left="360" w:hanging="794"/>
        <w:jc w:val="both"/>
        <w:rPr>
          <w:rFonts w:eastAsia="TimesNewRoman"/>
        </w:rPr>
      </w:pPr>
      <w:r w:rsidRPr="00286E49">
        <w:rPr>
          <w:rFonts w:eastAsia="TimesNewRoman"/>
        </w:rPr>
        <w:t xml:space="preserve">23. </w:t>
      </w:r>
      <w:r w:rsidRPr="00286E49">
        <w:rPr>
          <w:rFonts w:eastAsia="TimesNewRoman"/>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A1CDC" w:rsidRPr="00286E49" w:rsidRDefault="006A1CDC" w:rsidP="00C27275">
      <w:pPr>
        <w:ind w:left="360" w:hanging="794"/>
        <w:jc w:val="both"/>
        <w:rPr>
          <w:rFonts w:eastAsia="TimesNewRoman"/>
        </w:rPr>
      </w:pPr>
      <w:r w:rsidRPr="00286E49">
        <w:rPr>
          <w:rFonts w:eastAsia="TimesNewRoman"/>
        </w:rPr>
        <w:t xml:space="preserve">24. </w:t>
      </w:r>
      <w:r w:rsidRPr="00286E49">
        <w:rPr>
          <w:rFonts w:eastAsia="TimesNewRoman"/>
        </w:rPr>
        <w:tab/>
        <w:t>Poświadczenie za zgodność z oryginałem następuje w formie pisemnej.</w:t>
      </w:r>
    </w:p>
    <w:p w:rsidR="006A1CDC" w:rsidRPr="00286E49" w:rsidRDefault="006A1CDC" w:rsidP="00C27275">
      <w:pPr>
        <w:ind w:left="360" w:hanging="794"/>
        <w:jc w:val="both"/>
        <w:rPr>
          <w:rFonts w:eastAsia="TimesNewRoman"/>
        </w:rPr>
      </w:pPr>
      <w:r w:rsidRPr="00286E49">
        <w:rPr>
          <w:rFonts w:eastAsia="TimesNewRoman"/>
        </w:rPr>
        <w:t xml:space="preserve">25. </w:t>
      </w:r>
      <w:r w:rsidRPr="00286E49">
        <w:rPr>
          <w:rFonts w:eastAsia="TimesNewRoman"/>
        </w:rPr>
        <w:tab/>
        <w:t>Zamawiający może żądać przedstawienia oryginału lub notarialnie poświadczonej kopii dokumentów, o których mowa w Rozdziale 12 SIWZ  innych niż oświadczenia, wyłącznie wtedy, gdy złożona kopia dokumentu jest nieczytelna lub budzi wątpliwości co do jej prawdziwości.</w:t>
      </w:r>
    </w:p>
    <w:p w:rsidR="006A1CDC" w:rsidRPr="00286E49" w:rsidRDefault="006A1CDC" w:rsidP="00C27275">
      <w:pPr>
        <w:ind w:left="360" w:hanging="794"/>
        <w:jc w:val="both"/>
        <w:rPr>
          <w:rFonts w:eastAsia="TimesNewRoman"/>
        </w:rPr>
      </w:pPr>
      <w:r w:rsidRPr="00286E49">
        <w:rPr>
          <w:rFonts w:eastAsia="TimesNewRoman"/>
        </w:rPr>
        <w:t xml:space="preserve">26. </w:t>
      </w:r>
      <w:r w:rsidRPr="00286E49">
        <w:rPr>
          <w:rFonts w:eastAsia="TimesNewRoman"/>
        </w:rPr>
        <w:tab/>
        <w:t>Dokumenty sporządzone w języku obcym są składane wraz z tłumaczeniem na język polski.</w:t>
      </w:r>
    </w:p>
    <w:p w:rsidR="006A1CDC" w:rsidRPr="00286E49" w:rsidRDefault="006A1CDC" w:rsidP="00C27275">
      <w:pPr>
        <w:ind w:left="360" w:hanging="794"/>
        <w:jc w:val="both"/>
      </w:pPr>
      <w:r w:rsidRPr="00286E49">
        <w:rPr>
          <w:rFonts w:eastAsia="TimesNewRoman"/>
        </w:rPr>
        <w:t xml:space="preserve">27.  </w:t>
      </w:r>
      <w:r w:rsidRPr="00286E49">
        <w:rPr>
          <w:rFonts w:eastAsia="TimesNewRoman"/>
        </w:rPr>
        <w:tab/>
      </w:r>
      <w:r w:rsidRPr="00286E49">
        <w:t>Jeżeli wykaz, oświadczenia lub inne złożone przez wykonawcę dokumenty budzą wątpliwości zamawiającego, może  on zwrócić się bezpośrednio do właściwego podmiotu, na rzecz którego dostawy były, a w przypadku świadczeń okresowych lub ciągłych, są nadal wykonywane, o dodatkowe informacje lub dokumenty w tym zakresie.</w:t>
      </w:r>
    </w:p>
    <w:p w:rsidR="006A1CDC" w:rsidRPr="00286E49" w:rsidRDefault="006A1CDC" w:rsidP="00C27275">
      <w:pPr>
        <w:ind w:left="360" w:hanging="794"/>
        <w:jc w:val="both"/>
      </w:pPr>
      <w:r w:rsidRPr="00286E49">
        <w:t xml:space="preserve">28. </w:t>
      </w:r>
      <w:r w:rsidRPr="00286E49">
        <w:rPr>
          <w:rFonts w:eastAsia="TimesNewRoman"/>
        </w:rPr>
        <w:tab/>
      </w:r>
      <w:r w:rsidRPr="00286E49">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6A1CDC" w:rsidRPr="00286E49" w:rsidRDefault="006A1CDC" w:rsidP="00C27275">
      <w:pPr>
        <w:ind w:left="360" w:hanging="794"/>
        <w:jc w:val="both"/>
      </w:pPr>
      <w:r w:rsidRPr="00286E49">
        <w:t>29.</w:t>
      </w:r>
      <w:r w:rsidRPr="00286E49">
        <w:rPr>
          <w:rFonts w:eastAsia="TimesNewRoman"/>
        </w:rPr>
        <w:tab/>
      </w:r>
      <w:r w:rsidRPr="00286E49">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A1CDC" w:rsidRPr="00286E49" w:rsidRDefault="006A1CDC" w:rsidP="00C27275">
      <w:pPr>
        <w:ind w:left="360" w:hanging="794"/>
        <w:jc w:val="both"/>
        <w:rPr>
          <w:rFonts w:eastAsia="TimesNewRoman"/>
        </w:rPr>
      </w:pPr>
      <w:r w:rsidRPr="00286E49">
        <w:t xml:space="preserve">30. </w:t>
      </w:r>
      <w:r w:rsidRPr="00286E49">
        <w:rPr>
          <w:rFonts w:eastAsia="TimesNewRoman"/>
        </w:rPr>
        <w:tab/>
      </w:r>
      <w:r w:rsidRPr="00286E49">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A1CDC" w:rsidRPr="00286E49" w:rsidRDefault="006A1CDC" w:rsidP="00F20E4B">
      <w:pPr>
        <w:jc w:val="both"/>
      </w:pPr>
    </w:p>
    <w:p w:rsidR="006A1CDC" w:rsidRPr="00286E49" w:rsidRDefault="006A1CDC" w:rsidP="00F20E4B">
      <w:pPr>
        <w:jc w:val="both"/>
        <w:rPr>
          <w:b/>
          <w:bCs/>
        </w:rPr>
      </w:pPr>
      <w:r w:rsidRPr="00286E49">
        <w:rPr>
          <w:b/>
          <w:bCs/>
        </w:rPr>
        <w:t>Rozdział 13</w:t>
      </w:r>
    </w:p>
    <w:p w:rsidR="006A1CDC" w:rsidRPr="00286E49" w:rsidRDefault="006A1CDC" w:rsidP="00F20E4B">
      <w:pPr>
        <w:jc w:val="both"/>
        <w:rPr>
          <w:b/>
          <w:bCs/>
        </w:rPr>
      </w:pPr>
      <w:r w:rsidRPr="00286E49">
        <w:rPr>
          <w:b/>
          <w:bCs/>
        </w:rPr>
        <w:t>Podmioty występujące wspólnie (konsorcjum)</w:t>
      </w:r>
    </w:p>
    <w:p w:rsidR="006A1CDC" w:rsidRPr="00286E49" w:rsidRDefault="006A1CDC" w:rsidP="00F20E4B">
      <w:pPr>
        <w:jc w:val="both"/>
      </w:pPr>
    </w:p>
    <w:p w:rsidR="006A1CDC" w:rsidRPr="00286E49" w:rsidRDefault="006A1CDC" w:rsidP="00660ABA">
      <w:pPr>
        <w:numPr>
          <w:ilvl w:val="0"/>
          <w:numId w:val="12"/>
        </w:numPr>
        <w:jc w:val="both"/>
      </w:pPr>
      <w:r w:rsidRPr="00286E49">
        <w:t>Wykonawcy mogą wspólnie ubiegać się o udzielenie niniejszego zamówienia.</w:t>
      </w:r>
    </w:p>
    <w:p w:rsidR="006A1CDC" w:rsidRPr="00286E49" w:rsidRDefault="006A1CDC" w:rsidP="00F20E4B">
      <w:pPr>
        <w:numPr>
          <w:ilvl w:val="0"/>
          <w:numId w:val="12"/>
        </w:numPr>
        <w:jc w:val="both"/>
      </w:pPr>
      <w:r w:rsidRPr="00286E49">
        <w:t>Wykonawcy występujący wspólnie w postępowaniu - w formie konsorcjum, zobowiązani są, stosownie  do treści art. 23 ust. 2 ustawy Pzp, ustanowić pełnomocnika do reprezentowania ich w postępowaniu o udzielenie zamówienia publicznego lub do reprezentowania w postępowaniu i zawarcia umowy.</w:t>
      </w:r>
    </w:p>
    <w:p w:rsidR="006A1CDC" w:rsidRPr="00286E49" w:rsidRDefault="006A1CDC" w:rsidP="00F20E4B">
      <w:pPr>
        <w:numPr>
          <w:ilvl w:val="0"/>
          <w:numId w:val="12"/>
        </w:numPr>
        <w:jc w:val="both"/>
      </w:pPr>
      <w:r w:rsidRPr="00286E49">
        <w:t>Pełnomocnictwo załączane do oferty powinno zawierać określenie postępowania, oznaczenie wykonawców występujących wspólnie, określenie pełnomocnika, określenie zakresu umocowania. Pełnomocnictwo powinno być złożone w oryginale lub kopii potwierdzonej przez notariusza.</w:t>
      </w:r>
    </w:p>
    <w:p w:rsidR="006A1CDC" w:rsidRPr="00286E49" w:rsidRDefault="006A1CDC" w:rsidP="00F20E4B">
      <w:pPr>
        <w:numPr>
          <w:ilvl w:val="0"/>
          <w:numId w:val="12"/>
        </w:numPr>
        <w:jc w:val="both"/>
      </w:pPr>
      <w:r w:rsidRPr="00286E49">
        <w:t>Dokumenty, formularze i oświadczenia załączane do oferty winny być podpisane przez ustanowionego pełnomocnika albo w przypadku spółki cywilnej przez umocowanego wspólnika spółki cywilnej lub wszystkie podmioty/osoby fizyczne składające wspólnie ofertę.</w:t>
      </w:r>
    </w:p>
    <w:p w:rsidR="006A1CDC" w:rsidRPr="00286E49" w:rsidRDefault="006A1CDC" w:rsidP="00F20E4B">
      <w:pPr>
        <w:numPr>
          <w:ilvl w:val="0"/>
          <w:numId w:val="12"/>
        </w:numPr>
        <w:jc w:val="both"/>
      </w:pPr>
      <w:r w:rsidRPr="00286E49">
        <w:t>Korespondencja będzie prowadzona z ustanowionym pełnomocnikiem.</w:t>
      </w:r>
    </w:p>
    <w:p w:rsidR="006A1CDC" w:rsidRPr="00286E49" w:rsidRDefault="006A1CDC" w:rsidP="00F20E4B">
      <w:pPr>
        <w:numPr>
          <w:ilvl w:val="0"/>
          <w:numId w:val="12"/>
        </w:numPr>
        <w:jc w:val="both"/>
      </w:pPr>
      <w:r w:rsidRPr="00286E49">
        <w:t>Wykonawcy składający ofertę wspólną ponoszą solidarną odpowiedzialność za prawidłową realizację zamówienia. Zamawiający może w ramach odpowiedzialności solidarnej żądać wykonania umowy w całości przez partnera kierującego lub od wszystkich partnerów łącznie lub od każdego z osobna.</w:t>
      </w:r>
    </w:p>
    <w:p w:rsidR="006A1CDC" w:rsidRPr="00286E49" w:rsidRDefault="006A1CDC" w:rsidP="009C02E4"/>
    <w:p w:rsidR="006A1CDC" w:rsidRPr="00286E49" w:rsidRDefault="006A1CDC" w:rsidP="009C02E4">
      <w:pPr>
        <w:rPr>
          <w:b/>
          <w:bCs/>
        </w:rPr>
      </w:pPr>
    </w:p>
    <w:p w:rsidR="006A1CDC" w:rsidRPr="00286E49" w:rsidRDefault="006A1CDC" w:rsidP="009C02E4">
      <w:pPr>
        <w:rPr>
          <w:b/>
          <w:bCs/>
        </w:rPr>
      </w:pPr>
      <w:r w:rsidRPr="00286E49">
        <w:rPr>
          <w:b/>
          <w:bCs/>
        </w:rPr>
        <w:t>Rozdział 14</w:t>
      </w:r>
    </w:p>
    <w:p w:rsidR="006A1CDC" w:rsidRPr="00286E49" w:rsidRDefault="006A1CDC" w:rsidP="009C02E4">
      <w:pPr>
        <w:rPr>
          <w:b/>
          <w:bCs/>
        </w:rPr>
      </w:pPr>
      <w:r w:rsidRPr="00286E49">
        <w:rPr>
          <w:b/>
          <w:bCs/>
        </w:rPr>
        <w:t>Opis sposoby porozumiewania się między Wykonawcami a zamawiającym</w:t>
      </w:r>
    </w:p>
    <w:p w:rsidR="006A1CDC" w:rsidRPr="00286E49" w:rsidRDefault="006A1CDC" w:rsidP="009C02E4">
      <w:pPr>
        <w:rPr>
          <w:b/>
          <w:bCs/>
        </w:rPr>
      </w:pPr>
    </w:p>
    <w:p w:rsidR="006A1CDC" w:rsidRPr="00286E49" w:rsidRDefault="006A1CDC" w:rsidP="009C02E4"/>
    <w:p w:rsidR="006A1CDC" w:rsidRPr="00286E49" w:rsidRDefault="006A1CDC" w:rsidP="00660ABA">
      <w:pPr>
        <w:numPr>
          <w:ilvl w:val="0"/>
          <w:numId w:val="13"/>
        </w:numPr>
        <w:jc w:val="both"/>
      </w:pPr>
      <w:r w:rsidRPr="00286E49">
        <w:t>W postępowaniu o udzielenie niniejszego zamówienia komunikacja między zamawiającym a wykonawcami,  odbywa się przy użyciu środków komunikacji elektronicznej z wyłączeniem składania ofert.</w:t>
      </w:r>
    </w:p>
    <w:p w:rsidR="006A1CDC" w:rsidRPr="00286E49" w:rsidRDefault="006A1CDC" w:rsidP="00F20E4B">
      <w:pPr>
        <w:numPr>
          <w:ilvl w:val="0"/>
          <w:numId w:val="13"/>
        </w:numPr>
        <w:jc w:val="both"/>
      </w:pPr>
      <w:r w:rsidRPr="00286E49">
        <w:t>Każda ze stron na żądanie drugiej strony zobowiązana jest niezwłocznie potwierdzić fakt otrzymania korespondencji  przy użyciu komunikacji elektronicznej przesyłając informację zwrotną.</w:t>
      </w:r>
    </w:p>
    <w:p w:rsidR="006A1CDC" w:rsidRPr="00286E49" w:rsidRDefault="006A1CDC" w:rsidP="00F20E4B">
      <w:pPr>
        <w:numPr>
          <w:ilvl w:val="0"/>
          <w:numId w:val="13"/>
        </w:numPr>
        <w:jc w:val="both"/>
      </w:pPr>
      <w:r w:rsidRPr="00286E49">
        <w:t xml:space="preserve"> W przypadku braku potwierdzenia otrzymania dokumentu, o którym mowa w ust. 2 przez wykonawcę, uznaje się,  iż pismo wysłane na adres poczty elektronicznej wykonawcy w zostało mu doręczone w sposób umożliwiający zapoznanie się z jego treścią.</w:t>
      </w:r>
    </w:p>
    <w:p w:rsidR="006A1CDC" w:rsidRPr="00286E49" w:rsidRDefault="006A1CDC" w:rsidP="00F20E4B">
      <w:pPr>
        <w:numPr>
          <w:ilvl w:val="0"/>
          <w:numId w:val="13"/>
        </w:numPr>
        <w:jc w:val="both"/>
      </w:pPr>
      <w:r w:rsidRPr="00286E49">
        <w:t>Osobami upoważnionymi do kontaktów z wykonawcami, w godzinach pracy urzędu  poniedziałek, środa, czwartek, piątek  w godz. 7.00 – 15.00, wtorek 8.00-16.00 są: w zakresie przedmiotu zamówienia: Jarosław Rekowski, Beata Zielińska, adres: e-mail: km</w:t>
      </w:r>
      <w:hyperlink r:id="rId10" w:tgtFrame="_blank" w:history="1">
        <w:r w:rsidRPr="00286E49">
          <w:t>@miastochojnice.pl</w:t>
        </w:r>
      </w:hyperlink>
    </w:p>
    <w:p w:rsidR="006A1CDC" w:rsidRPr="00286E49" w:rsidRDefault="006A1CDC" w:rsidP="009C02E4"/>
    <w:p w:rsidR="006A1CDC" w:rsidRPr="00286E49" w:rsidRDefault="006A1CDC" w:rsidP="009C02E4">
      <w:pPr>
        <w:rPr>
          <w:b/>
          <w:bCs/>
        </w:rPr>
      </w:pPr>
      <w:r w:rsidRPr="00286E49">
        <w:rPr>
          <w:b/>
          <w:bCs/>
        </w:rPr>
        <w:t>Rozdział 15</w:t>
      </w:r>
    </w:p>
    <w:p w:rsidR="006A1CDC" w:rsidRPr="00286E49" w:rsidRDefault="006A1CDC" w:rsidP="009C02E4">
      <w:pPr>
        <w:rPr>
          <w:b/>
          <w:bCs/>
        </w:rPr>
      </w:pPr>
      <w:r w:rsidRPr="00286E49">
        <w:rPr>
          <w:b/>
          <w:bCs/>
        </w:rPr>
        <w:t>Wyjaśnienie, zmiany i wycofanie ofert</w:t>
      </w:r>
    </w:p>
    <w:p w:rsidR="006A1CDC" w:rsidRPr="00286E49" w:rsidRDefault="006A1CDC" w:rsidP="000F42B4">
      <w:pPr>
        <w:jc w:val="both"/>
      </w:pPr>
    </w:p>
    <w:p w:rsidR="006A1CDC" w:rsidRPr="00286E49" w:rsidRDefault="006A1CDC" w:rsidP="00660ABA">
      <w:pPr>
        <w:numPr>
          <w:ilvl w:val="0"/>
          <w:numId w:val="14"/>
        </w:numPr>
        <w:jc w:val="both"/>
      </w:pPr>
      <w:r w:rsidRPr="00286E49">
        <w:t>Wykonawca może zwrócić się do zamawiającego o wyjaśnienie treści SIWZ.</w:t>
      </w:r>
    </w:p>
    <w:p w:rsidR="006A1CDC" w:rsidRPr="00286E49" w:rsidRDefault="006A1CDC" w:rsidP="000F42B4">
      <w:pPr>
        <w:numPr>
          <w:ilvl w:val="0"/>
          <w:numId w:val="14"/>
        </w:numPr>
        <w:jc w:val="both"/>
      </w:pPr>
      <w:r w:rsidRPr="00286E49">
        <w:t>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w:t>
      </w:r>
    </w:p>
    <w:p w:rsidR="006A1CDC" w:rsidRPr="00286E49" w:rsidRDefault="006A1CDC" w:rsidP="000F42B4">
      <w:pPr>
        <w:numPr>
          <w:ilvl w:val="0"/>
          <w:numId w:val="14"/>
        </w:numPr>
        <w:jc w:val="both"/>
      </w:pPr>
      <w:r w:rsidRPr="00286E49">
        <w:t xml:space="preserve"> Jeżeli wniosek wpłynął po upływie powyższego terminu lub dotyczy udzielonych wyjaśnień, zamawiający może udzielić wyjaśnień albo pozostawić wniosek bez rozpoznania.</w:t>
      </w:r>
    </w:p>
    <w:p w:rsidR="006A1CDC" w:rsidRPr="00286E49" w:rsidRDefault="006A1CDC" w:rsidP="000F42B4">
      <w:pPr>
        <w:numPr>
          <w:ilvl w:val="0"/>
          <w:numId w:val="14"/>
        </w:numPr>
        <w:jc w:val="both"/>
      </w:pPr>
      <w:r w:rsidRPr="00286E49">
        <w:t xml:space="preserve"> Zamawiający prześle treść wyjaśnień wszystkim wykonawcom, którym przekazano specyfikację istotnych warunków zamówienia oraz zamieści je na stronie internetowej, na której udostępniana jest SIWZ.</w:t>
      </w:r>
    </w:p>
    <w:p w:rsidR="006A1CDC" w:rsidRPr="00286E49" w:rsidRDefault="006A1CDC" w:rsidP="000F42B4">
      <w:pPr>
        <w:numPr>
          <w:ilvl w:val="0"/>
          <w:numId w:val="14"/>
        </w:numPr>
        <w:jc w:val="both"/>
      </w:pPr>
      <w:r w:rsidRPr="00286E49">
        <w:t>W uzasadnionych przypadkach zamawiający może przed upływem terminu składania ofert zmienić treść specyfikacji istotnych warunków zamówienia. Dokonaną zmianę treści specyfikacji zamawiający udostępnia na stronie internetowej. Wprowadzone w ten sposób zmiany są wiążące dla wykonawców.</w:t>
      </w:r>
    </w:p>
    <w:p w:rsidR="006A1CDC" w:rsidRPr="00286E49" w:rsidRDefault="006A1CDC" w:rsidP="000F42B4">
      <w:pPr>
        <w:numPr>
          <w:ilvl w:val="0"/>
          <w:numId w:val="14"/>
        </w:numPr>
        <w:jc w:val="both"/>
      </w:pPr>
      <w:r w:rsidRPr="00286E49">
        <w:t>Wykonawca może zmodyfikować lub wycofać złożoną przez siebie ofertę za pomocą powiadomienia przekazanego zamawiającemu przed upływem terminu składania ofert.</w:t>
      </w:r>
    </w:p>
    <w:p w:rsidR="006A1CDC" w:rsidRPr="00286E49" w:rsidRDefault="006A1CDC" w:rsidP="000F42B4">
      <w:pPr>
        <w:numPr>
          <w:ilvl w:val="0"/>
          <w:numId w:val="14"/>
        </w:numPr>
        <w:jc w:val="both"/>
      </w:pPr>
      <w:r w:rsidRPr="00286E49">
        <w:t>Powiadomienie o wprowadzaniu zmian lub wycofaniu oferty powinno być przez wykonawcę przygotowane i oznaczone w sposób określony w niniejszej specyfikacji i dodatkowo oznaczone określeniami „ZMIANA”  lub „WYCOFANIE”.</w:t>
      </w:r>
    </w:p>
    <w:p w:rsidR="006A1CDC" w:rsidRPr="00286E49" w:rsidRDefault="006A1CDC" w:rsidP="000F42B4">
      <w:pPr>
        <w:numPr>
          <w:ilvl w:val="0"/>
          <w:numId w:val="14"/>
        </w:numPr>
        <w:jc w:val="both"/>
      </w:pPr>
      <w:r w:rsidRPr="00286E49">
        <w:t>Wykonawca nie może wycofać oferty wprowadzić zmian do jej treści po upływie terminu składania ofert.</w:t>
      </w:r>
    </w:p>
    <w:p w:rsidR="006A1CDC" w:rsidRPr="00286E49" w:rsidRDefault="006A1CDC" w:rsidP="000F42B4">
      <w:pPr>
        <w:numPr>
          <w:ilvl w:val="0"/>
          <w:numId w:val="14"/>
        </w:numPr>
        <w:jc w:val="both"/>
      </w:pPr>
      <w:r w:rsidRPr="00286E49">
        <w:t>Oferty wycofane zostaną zwrócone wykonawcy bez otwierania niezwłocznie</w:t>
      </w:r>
    </w:p>
    <w:p w:rsidR="006A1CDC" w:rsidRPr="00286E49" w:rsidRDefault="006A1CDC" w:rsidP="009C02E4"/>
    <w:p w:rsidR="006A1CDC" w:rsidRPr="00286E49" w:rsidRDefault="006A1CDC" w:rsidP="009C02E4">
      <w:pPr>
        <w:rPr>
          <w:b/>
          <w:bCs/>
        </w:rPr>
      </w:pPr>
    </w:p>
    <w:p w:rsidR="006A1CDC" w:rsidRPr="00286E49" w:rsidRDefault="006A1CDC" w:rsidP="009C02E4">
      <w:pPr>
        <w:rPr>
          <w:b/>
          <w:bCs/>
        </w:rPr>
      </w:pPr>
    </w:p>
    <w:p w:rsidR="006A1CDC" w:rsidRPr="00286E49" w:rsidRDefault="006A1CDC" w:rsidP="009C02E4">
      <w:pPr>
        <w:rPr>
          <w:b/>
          <w:bCs/>
        </w:rPr>
      </w:pPr>
      <w:r w:rsidRPr="00286E49">
        <w:rPr>
          <w:b/>
          <w:bCs/>
        </w:rPr>
        <w:t>Rozdział 16</w:t>
      </w:r>
    </w:p>
    <w:p w:rsidR="006A1CDC" w:rsidRPr="00286E49" w:rsidRDefault="006A1CDC" w:rsidP="009C02E4">
      <w:pPr>
        <w:rPr>
          <w:b/>
          <w:bCs/>
        </w:rPr>
      </w:pPr>
      <w:r w:rsidRPr="00286E49">
        <w:rPr>
          <w:b/>
          <w:bCs/>
        </w:rPr>
        <w:t>Wadium</w:t>
      </w:r>
    </w:p>
    <w:p w:rsidR="006A1CDC" w:rsidRPr="00286E49" w:rsidRDefault="006A1CDC" w:rsidP="000F42B4">
      <w:pPr>
        <w:jc w:val="both"/>
      </w:pPr>
    </w:p>
    <w:p w:rsidR="006A1CDC" w:rsidRPr="00286E49" w:rsidRDefault="006A1CDC" w:rsidP="00660ABA">
      <w:pPr>
        <w:numPr>
          <w:ilvl w:val="0"/>
          <w:numId w:val="15"/>
        </w:numPr>
        <w:jc w:val="both"/>
      </w:pPr>
      <w:r w:rsidRPr="00286E49">
        <w:t>Wykonawca jest zobowiązany do wniesienia wadium w wysokości:</w:t>
      </w:r>
    </w:p>
    <w:p w:rsidR="006A1CDC" w:rsidRPr="00286E49" w:rsidRDefault="006A1CDC" w:rsidP="000F42B4">
      <w:pPr>
        <w:jc w:val="both"/>
      </w:pPr>
      <w:r w:rsidRPr="00286E49">
        <w:tab/>
        <w:t xml:space="preserve">150 000,00 zł. (sto pięćdziesiąt tysięcy złotych) </w:t>
      </w:r>
      <w:r w:rsidRPr="00286E49">
        <w:tab/>
        <w:t>dla części I</w:t>
      </w:r>
    </w:p>
    <w:p w:rsidR="006A1CDC" w:rsidRPr="00286E49" w:rsidRDefault="006A1CDC" w:rsidP="000F42B4">
      <w:pPr>
        <w:jc w:val="both"/>
      </w:pPr>
      <w:r w:rsidRPr="00286E49">
        <w:tab/>
        <w:t xml:space="preserve">50 000,00 zł. (pięćdziesiąt tysięcy złotych) </w:t>
      </w:r>
      <w:r w:rsidRPr="00286E49">
        <w:tab/>
      </w:r>
      <w:r w:rsidRPr="00286E49">
        <w:tab/>
        <w:t>dla części II</w:t>
      </w:r>
    </w:p>
    <w:p w:rsidR="006A1CDC" w:rsidRPr="00286E49" w:rsidRDefault="006A1CDC" w:rsidP="000F42B4">
      <w:pPr>
        <w:jc w:val="both"/>
      </w:pPr>
      <w:r w:rsidRPr="00286E49">
        <w:tab/>
        <w:t xml:space="preserve">w pieniądzu, poręczeniach bankowych lub poręczeniach spółdzielczej kasy </w:t>
      </w:r>
      <w:r w:rsidRPr="00286E49">
        <w:tab/>
        <w:t xml:space="preserve">oszczędnościowo kredytowej (z tym że poręczenie kasy jest zawsze poręczeniem </w:t>
      </w:r>
      <w:r w:rsidRPr="00286E49">
        <w:tab/>
        <w:t xml:space="preserve">pieniężnym), gwarancjach bankowych, ubezpieczeniowych, poręczeniach udzielanych </w:t>
      </w:r>
      <w:r w:rsidRPr="00286E49">
        <w:tab/>
        <w:t xml:space="preserve">przez podmioty o których mowa w art. 6b ust. 5 pkt 2 ustawy z dnia 9 listopada 2000 </w:t>
      </w:r>
      <w:r w:rsidRPr="00286E49">
        <w:tab/>
        <w:t xml:space="preserve">roku   o Polskiej Agencji Rozwoju Przedsiębiorczości nie później niż do upływu </w:t>
      </w:r>
      <w:r w:rsidRPr="00286E49">
        <w:tab/>
        <w:t xml:space="preserve">terminu składania ofert. Obowiązująca jest data i godzina wpływu pieniędzy (uznania </w:t>
      </w:r>
      <w:r w:rsidRPr="00286E49">
        <w:tab/>
        <w:t>kwoty) na rachunek zamawiającego.</w:t>
      </w:r>
    </w:p>
    <w:p w:rsidR="006A1CDC" w:rsidRPr="00286E49" w:rsidRDefault="006A1CDC" w:rsidP="000F42B4">
      <w:pPr>
        <w:numPr>
          <w:ilvl w:val="0"/>
          <w:numId w:val="15"/>
        </w:numPr>
        <w:jc w:val="both"/>
      </w:pPr>
      <w:r w:rsidRPr="00286E49">
        <w:t>Złożenie oferty niezabezpieczonej wadium będzie skutkować odrzuceniem oferty Wykonawcy .</w:t>
      </w:r>
    </w:p>
    <w:p w:rsidR="006A1CDC" w:rsidRPr="00286E49" w:rsidRDefault="006A1CDC" w:rsidP="000F42B4">
      <w:pPr>
        <w:numPr>
          <w:ilvl w:val="0"/>
          <w:numId w:val="15"/>
        </w:numPr>
        <w:jc w:val="both"/>
      </w:pPr>
      <w:r w:rsidRPr="00286E49">
        <w:t>Wadium w pieniądzu należy wpłacić przelewem na rachunek bankowy zamawiającego  (35 8146 0003 0000 0304 2000 0040). Na przelewie należy umieścić informację: Wadium – AUTOBUSY.</w:t>
      </w:r>
    </w:p>
    <w:p w:rsidR="006A1CDC" w:rsidRPr="00286E49" w:rsidRDefault="006A1CDC" w:rsidP="000F42B4">
      <w:pPr>
        <w:numPr>
          <w:ilvl w:val="0"/>
          <w:numId w:val="15"/>
        </w:numPr>
        <w:jc w:val="both"/>
      </w:pPr>
      <w:r w:rsidRPr="00286E49">
        <w:t>Oryginał lub potwierdzoną za zgodność kopię przelewu należy dołączyć do oferty.</w:t>
      </w:r>
    </w:p>
    <w:p w:rsidR="006A1CDC" w:rsidRPr="00286E49" w:rsidRDefault="006A1CDC" w:rsidP="000F42B4">
      <w:pPr>
        <w:numPr>
          <w:ilvl w:val="0"/>
          <w:numId w:val="15"/>
        </w:numPr>
        <w:jc w:val="both"/>
      </w:pPr>
      <w:r w:rsidRPr="00286E49">
        <w:t xml:space="preserve"> Oryginał wadium w pozostałych akceptowanych przez zamawiającego formach należy dołączyć do składanej oferty.</w:t>
      </w:r>
    </w:p>
    <w:p w:rsidR="006A1CDC" w:rsidRPr="00286E49" w:rsidRDefault="006A1CDC" w:rsidP="000F42B4">
      <w:pPr>
        <w:numPr>
          <w:ilvl w:val="0"/>
          <w:numId w:val="15"/>
        </w:numPr>
        <w:jc w:val="both"/>
      </w:pPr>
      <w:r w:rsidRPr="00286E49">
        <w:t>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 46   ust. 4a i 5 ustawy Pzp.</w:t>
      </w:r>
    </w:p>
    <w:p w:rsidR="006A1CDC" w:rsidRPr="00286E49" w:rsidRDefault="006A1CDC" w:rsidP="000F42B4">
      <w:pPr>
        <w:numPr>
          <w:ilvl w:val="0"/>
          <w:numId w:val="15"/>
        </w:numPr>
        <w:jc w:val="both"/>
      </w:pPr>
      <w:r w:rsidRPr="00286E49">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A1CDC" w:rsidRPr="00286E49" w:rsidRDefault="006A1CDC" w:rsidP="000F42B4">
      <w:pPr>
        <w:numPr>
          <w:ilvl w:val="0"/>
          <w:numId w:val="15"/>
        </w:numPr>
        <w:jc w:val="both"/>
      </w:pPr>
      <w:r w:rsidRPr="00286E49">
        <w:t xml:space="preserve">Zamawiający zatrzymuje wadium wraz z odsetkami, jeżeli wykonawca, którego oferta została wybrana: </w:t>
      </w:r>
    </w:p>
    <w:p w:rsidR="006A1CDC" w:rsidRPr="00286E49" w:rsidRDefault="006A1CDC" w:rsidP="000F42B4">
      <w:pPr>
        <w:jc w:val="both"/>
      </w:pPr>
      <w:r w:rsidRPr="00286E49">
        <w:t xml:space="preserve">1) </w:t>
      </w:r>
      <w:r w:rsidRPr="00286E49">
        <w:tab/>
        <w:t xml:space="preserve">odmówił podpisania umowy w sprawie zamówienia publicznego na warunkach </w:t>
      </w:r>
      <w:r w:rsidRPr="00286E49">
        <w:tab/>
        <w:t xml:space="preserve">określonych w ofercie; </w:t>
      </w:r>
    </w:p>
    <w:p w:rsidR="006A1CDC" w:rsidRPr="00286E49" w:rsidRDefault="006A1CDC" w:rsidP="000F42B4">
      <w:pPr>
        <w:jc w:val="both"/>
      </w:pPr>
      <w:r w:rsidRPr="00286E49">
        <w:t>2)</w:t>
      </w:r>
      <w:r w:rsidRPr="00286E49">
        <w:tab/>
        <w:t xml:space="preserve">nie wniósł wymaganego zabezpieczenia należytego wykonania umowy; </w:t>
      </w:r>
    </w:p>
    <w:p w:rsidR="006A1CDC" w:rsidRPr="00286E49" w:rsidRDefault="006A1CDC" w:rsidP="000F42B4">
      <w:pPr>
        <w:jc w:val="both"/>
      </w:pPr>
      <w:r w:rsidRPr="00286E49">
        <w:t xml:space="preserve">3) </w:t>
      </w:r>
      <w:r w:rsidRPr="00286E49">
        <w:tab/>
        <w:t xml:space="preserve">zawarcie umowy w sprawie zamówienia publicznego stało się niemożliwe z przyczyn </w:t>
      </w:r>
      <w:r w:rsidRPr="00286E49">
        <w:tab/>
        <w:t xml:space="preserve">leżących po stronie wykonawcy. </w:t>
      </w:r>
    </w:p>
    <w:p w:rsidR="006A1CDC" w:rsidRPr="00286E49" w:rsidRDefault="006A1CDC" w:rsidP="009C02E4"/>
    <w:p w:rsidR="006A1CDC" w:rsidRPr="00286E49" w:rsidRDefault="006A1CDC" w:rsidP="009C02E4">
      <w:pPr>
        <w:rPr>
          <w:b/>
          <w:bCs/>
        </w:rPr>
      </w:pPr>
      <w:r w:rsidRPr="00286E49">
        <w:rPr>
          <w:b/>
          <w:bCs/>
        </w:rPr>
        <w:t>Rozdział  17</w:t>
      </w:r>
    </w:p>
    <w:p w:rsidR="006A1CDC" w:rsidRPr="00286E49" w:rsidRDefault="006A1CDC" w:rsidP="009C02E4">
      <w:pPr>
        <w:rPr>
          <w:b/>
          <w:bCs/>
        </w:rPr>
      </w:pPr>
      <w:r w:rsidRPr="00286E49">
        <w:rPr>
          <w:b/>
          <w:bCs/>
        </w:rPr>
        <w:t>Zabezpieczenie należytego wykonania umowy</w:t>
      </w:r>
    </w:p>
    <w:p w:rsidR="006A1CDC" w:rsidRPr="00286E49" w:rsidRDefault="006A1CDC" w:rsidP="009C02E4"/>
    <w:p w:rsidR="006A1CDC" w:rsidRPr="00286E49" w:rsidRDefault="006A1CDC" w:rsidP="009125AD">
      <w:pPr>
        <w:numPr>
          <w:ilvl w:val="0"/>
          <w:numId w:val="16"/>
        </w:numPr>
        <w:jc w:val="both"/>
      </w:pPr>
      <w:r w:rsidRPr="00286E49">
        <w:t>W celu pokrycia roszczeń z tytułu niewykonania lub nienależytego wykonania umowy Zamawiający ustanawia zabezpieczenie w wysokości 5% ceny całkowitej podanej w ofercie.</w:t>
      </w:r>
    </w:p>
    <w:p w:rsidR="006A1CDC" w:rsidRPr="00286E49" w:rsidRDefault="006A1CDC" w:rsidP="000F42B4">
      <w:pPr>
        <w:numPr>
          <w:ilvl w:val="0"/>
          <w:numId w:val="16"/>
        </w:numPr>
        <w:jc w:val="both"/>
      </w:pPr>
      <w:r w:rsidRPr="00286E49">
        <w:t xml:space="preserve"> Zabezpieczenie będzie wniesione przez wybranego wykonawcę w pełnej wysokości przed podpisaniem umowy. Jeżeli wybrany wykonawca nie wniesie zabezpieczenia zamawiający wybierze najkorzystniejszą ofertę  bez przeprowadzenia ich ponownego badania i oceny spośród pozostałych ofert stosownie do treści art. 94 ust. 3 ustawy Prawo zamówień publicznych.</w:t>
      </w:r>
    </w:p>
    <w:p w:rsidR="006A1CDC" w:rsidRPr="00286E49" w:rsidRDefault="006A1CDC" w:rsidP="000F42B4">
      <w:pPr>
        <w:numPr>
          <w:ilvl w:val="0"/>
          <w:numId w:val="16"/>
        </w:numPr>
        <w:jc w:val="both"/>
      </w:pPr>
      <w:r w:rsidRPr="00286E49">
        <w:t>Zabezpieczenie może być wnoszone w jednej lub kilku formach tj.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roku o Polskiej Agencji Rozwoju Przedsiębiorczości.</w:t>
      </w:r>
    </w:p>
    <w:p w:rsidR="006A1CDC" w:rsidRPr="00286E49" w:rsidRDefault="006A1CDC" w:rsidP="009125AD">
      <w:pPr>
        <w:numPr>
          <w:ilvl w:val="0"/>
          <w:numId w:val="16"/>
        </w:numPr>
        <w:jc w:val="both"/>
      </w:pPr>
      <w:r w:rsidRPr="00286E49">
        <w:t>Zabezpieczenie w formie pieniężnej wnoszone będzie na rachunek bankowy zamawiającego: nr: 35 8146 0003 0000 0304 2000 0040. Na przelewie należy umieścić informację: Autobusy.</w:t>
      </w:r>
    </w:p>
    <w:p w:rsidR="006A1CDC" w:rsidRPr="00286E49" w:rsidRDefault="006A1CDC" w:rsidP="000F42B4">
      <w:pPr>
        <w:numPr>
          <w:ilvl w:val="0"/>
          <w:numId w:val="16"/>
        </w:numPr>
        <w:jc w:val="both"/>
      </w:pPr>
      <w:r w:rsidRPr="00286E49">
        <w:t>Poręczenie lub gwarancja, przekazane zamawiającemu w oryginale, powinny zawierać stwierdzenie, że: w przypadku niewykonania lub nienależytego wykonania zamówienia przez wykonawcę, na pisemne żądanie zamawiającego wzywające do zapłaty kwoty zabezpieczenia następuje jego bezwarunkowa wypłata przez gwaranta/poręczyciela.</w:t>
      </w:r>
    </w:p>
    <w:p w:rsidR="006A1CDC" w:rsidRPr="00286E49" w:rsidRDefault="006A1CDC" w:rsidP="000F42B4">
      <w:pPr>
        <w:numPr>
          <w:ilvl w:val="0"/>
          <w:numId w:val="16"/>
        </w:numPr>
        <w:jc w:val="both"/>
      </w:pPr>
      <w:r w:rsidRPr="00286E49">
        <w:t>Zabezpieczenie musi zostać wniesione przez wykonawcę jednocześnie na okres realizacji umowy wraz z okresem rękojmi za wady.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zamawiający zastrzega sobie możliwość odstąpienia od podpisania umowy z wybranym wykonawcą, a w ślad za tym dokonania wyboru następnej w kolejności najkorzystniejszej oferty.</w:t>
      </w:r>
    </w:p>
    <w:p w:rsidR="006A1CDC" w:rsidRPr="00286E49" w:rsidRDefault="006A1CDC" w:rsidP="000F42B4">
      <w:pPr>
        <w:numPr>
          <w:ilvl w:val="0"/>
          <w:numId w:val="16"/>
        </w:numPr>
        <w:jc w:val="both"/>
      </w:pPr>
      <w:r w:rsidRPr="00286E49">
        <w:t>Zabezpieczenie ustanowione na okres rękojmi za wady stanowić będzie 30% wartości nominalnej zabezpieczenia.</w:t>
      </w:r>
    </w:p>
    <w:p w:rsidR="006A1CDC" w:rsidRPr="00286E49" w:rsidRDefault="006A1CDC" w:rsidP="000F42B4">
      <w:pPr>
        <w:numPr>
          <w:ilvl w:val="0"/>
          <w:numId w:val="16"/>
        </w:numPr>
        <w:jc w:val="both"/>
      </w:pPr>
      <w:r w:rsidRPr="00286E49">
        <w:t>Jeżeli dochodzi do przedłużenia terminu realizacji zamówienia, wykonawca zobowiązany jest niezwłocznie przedłużyć ważność wniesionego zabezpieczenia lub wnieść nowe na wydłużony okres zarówno dla okresu realizacji zamówienia jak i okresu rękojmi.</w:t>
      </w:r>
    </w:p>
    <w:p w:rsidR="006A1CDC" w:rsidRPr="00286E49" w:rsidRDefault="006A1CDC" w:rsidP="000F42B4">
      <w:pPr>
        <w:numPr>
          <w:ilvl w:val="0"/>
          <w:numId w:val="16"/>
        </w:numPr>
        <w:jc w:val="both"/>
      </w:pPr>
      <w:r w:rsidRPr="00286E49">
        <w:t>Jeżeli wykonawca nie wypełnia obowiązków określonych w pkt. 8 zamawiający zastrzega sobie Prawo do wstrzymania wypłaty wynagrodzenia lub zajęcia na poczet zabezpieczenia odpowiedniej jego części.</w:t>
      </w:r>
    </w:p>
    <w:p w:rsidR="006A1CDC" w:rsidRPr="00286E49" w:rsidRDefault="006A1CDC" w:rsidP="000F42B4">
      <w:pPr>
        <w:numPr>
          <w:ilvl w:val="0"/>
          <w:numId w:val="16"/>
        </w:numPr>
        <w:jc w:val="both"/>
      </w:pPr>
      <w:r w:rsidRPr="00286E49">
        <w:t>W przypadku nieprzedłużenia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p>
    <w:p w:rsidR="006A1CDC" w:rsidRPr="00286E49" w:rsidRDefault="006A1CDC" w:rsidP="000F42B4">
      <w:pPr>
        <w:numPr>
          <w:ilvl w:val="0"/>
          <w:numId w:val="16"/>
        </w:numPr>
        <w:jc w:val="both"/>
      </w:pPr>
      <w:r w:rsidRPr="00286E49">
        <w:t>Jeżeli Wykonawca nie będzie wywiązywał się z obowiązków wynikających z rękojmi za wady zamawiający zleci realizację z środków wniesionych na zabezpieczenie należytego wykonania umowy podmiotowi trzeciemu. W przypadku, gdy koszt ten przekroczy wysokość zabezpieczenia zamawiający będzie dochodził od wykonawcy kwoty uzupełniającej.</w:t>
      </w:r>
    </w:p>
    <w:p w:rsidR="006A1CDC" w:rsidRPr="00286E49" w:rsidRDefault="006A1CDC" w:rsidP="000F42B4">
      <w:pPr>
        <w:numPr>
          <w:ilvl w:val="0"/>
          <w:numId w:val="16"/>
        </w:numPr>
        <w:jc w:val="both"/>
      </w:pPr>
      <w:r w:rsidRPr="00286E49">
        <w:t>Zamawiający zwróci lub zwolni zabezpieczenie należytego wykonania umowy w terminach wskazanych w art. 151 ustawy Pzp.</w:t>
      </w:r>
    </w:p>
    <w:p w:rsidR="006A1CDC" w:rsidRPr="00286E49" w:rsidRDefault="006A1CDC" w:rsidP="000F42B4">
      <w:pPr>
        <w:numPr>
          <w:ilvl w:val="0"/>
          <w:numId w:val="16"/>
        </w:numPr>
        <w:jc w:val="both"/>
      </w:pPr>
      <w:r w:rsidRPr="00286E49">
        <w:t>Szczegółowe postanowienia, co do zabezpieczenia należytego wykonania umowy określono we wzorze umowy.</w:t>
      </w:r>
    </w:p>
    <w:p w:rsidR="006A1CDC" w:rsidRPr="00286E49" w:rsidRDefault="006A1CDC" w:rsidP="009C02E4"/>
    <w:p w:rsidR="006A1CDC" w:rsidRPr="00286E49" w:rsidRDefault="006A1CDC" w:rsidP="009C02E4">
      <w:pPr>
        <w:rPr>
          <w:b/>
          <w:bCs/>
        </w:rPr>
      </w:pPr>
      <w:r w:rsidRPr="00286E49">
        <w:rPr>
          <w:b/>
          <w:bCs/>
        </w:rPr>
        <w:t xml:space="preserve">Rozdział 18 </w:t>
      </w:r>
    </w:p>
    <w:p w:rsidR="006A1CDC" w:rsidRPr="00286E49" w:rsidRDefault="006A1CDC" w:rsidP="009C02E4">
      <w:pPr>
        <w:rPr>
          <w:b/>
          <w:bCs/>
        </w:rPr>
      </w:pPr>
      <w:r w:rsidRPr="00286E49">
        <w:rPr>
          <w:b/>
          <w:bCs/>
        </w:rPr>
        <w:t>Waluta , w jakiej będą prowadzone rozliczenia między zamawiającym a wykonawcą</w:t>
      </w:r>
    </w:p>
    <w:p w:rsidR="006A1CDC" w:rsidRPr="00286E49" w:rsidRDefault="006A1CDC" w:rsidP="009C02E4"/>
    <w:p w:rsidR="006A1CDC" w:rsidRPr="00286E49" w:rsidRDefault="006A1CDC" w:rsidP="000F42B4">
      <w:pPr>
        <w:jc w:val="both"/>
      </w:pPr>
      <w:r w:rsidRPr="00286E49">
        <w:t>Wszelkie rozliczenia związane z realizacją zamówienia publicznego, którego dotyczy niniejsza specyfikacja istotnych warunków zamówienia będą dokonywane w polskich złotych (PLN).</w:t>
      </w:r>
    </w:p>
    <w:p w:rsidR="006A1CDC" w:rsidRPr="00286E49" w:rsidRDefault="006A1CDC" w:rsidP="009C02E4"/>
    <w:p w:rsidR="006A1CDC" w:rsidRPr="00286E49" w:rsidRDefault="006A1CDC" w:rsidP="009C02E4">
      <w:pPr>
        <w:rPr>
          <w:b/>
          <w:bCs/>
        </w:rPr>
      </w:pPr>
      <w:r w:rsidRPr="00286E49">
        <w:rPr>
          <w:b/>
          <w:bCs/>
        </w:rPr>
        <w:t>Rozdział 19</w:t>
      </w:r>
    </w:p>
    <w:p w:rsidR="006A1CDC" w:rsidRPr="00286E49" w:rsidRDefault="006A1CDC" w:rsidP="009C02E4">
      <w:pPr>
        <w:rPr>
          <w:b/>
          <w:bCs/>
        </w:rPr>
      </w:pPr>
      <w:r w:rsidRPr="00286E49">
        <w:rPr>
          <w:b/>
          <w:bCs/>
        </w:rPr>
        <w:t>Tajemnica przedsiębiorstwa</w:t>
      </w:r>
    </w:p>
    <w:p w:rsidR="006A1CDC" w:rsidRPr="00286E49" w:rsidRDefault="006A1CDC" w:rsidP="000F42B4">
      <w:pPr>
        <w:jc w:val="both"/>
      </w:pPr>
    </w:p>
    <w:p w:rsidR="006A1CDC" w:rsidRPr="00286E49" w:rsidRDefault="006A1CDC" w:rsidP="009125AD">
      <w:pPr>
        <w:numPr>
          <w:ilvl w:val="0"/>
          <w:numId w:val="17"/>
        </w:numPr>
        <w:jc w:val="both"/>
      </w:pPr>
      <w:r w:rsidRPr="00286E49">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A1CDC" w:rsidRPr="00286E49" w:rsidRDefault="006A1CDC" w:rsidP="000F42B4">
      <w:pPr>
        <w:numPr>
          <w:ilvl w:val="0"/>
          <w:numId w:val="17"/>
        </w:numPr>
        <w:jc w:val="both"/>
      </w:pPr>
      <w:r w:rsidRPr="00286E49">
        <w:t xml:space="preserve"> Wykonawca nie może zastrzec informacji, o których mowa w art. 86 ust. 4 tj: nazwy i adresu, informacji dotyczących ceny, terminu wykonania zamówienia, okresu gwarancji i warunków płatności.</w:t>
      </w:r>
    </w:p>
    <w:p w:rsidR="006A1CDC" w:rsidRPr="00286E49" w:rsidRDefault="006A1CDC" w:rsidP="00B40719">
      <w:pPr>
        <w:numPr>
          <w:ilvl w:val="0"/>
          <w:numId w:val="17"/>
        </w:numPr>
        <w:jc w:val="both"/>
      </w:pPr>
      <w:r w:rsidRPr="00286E49">
        <w:t>W przypadku gdyby oferta zawierała informacje stanowi</w:t>
      </w:r>
      <w:r w:rsidRPr="00286E49">
        <w:rPr>
          <w:rFonts w:eastAsia="TimesNewRoman"/>
        </w:rPr>
        <w:t>ą</w:t>
      </w:r>
      <w:r w:rsidRPr="00286E49">
        <w:t>ce tajemnic</w:t>
      </w:r>
      <w:r w:rsidRPr="00286E49">
        <w:rPr>
          <w:rFonts w:eastAsia="TimesNewRoman"/>
        </w:rPr>
        <w:t xml:space="preserve">ę </w:t>
      </w:r>
      <w:r w:rsidRPr="00286E49">
        <w:t>przedsi</w:t>
      </w:r>
      <w:r w:rsidRPr="00286E49">
        <w:rPr>
          <w:rFonts w:eastAsia="TimesNewRoman"/>
        </w:rPr>
        <w:t>ę</w:t>
      </w:r>
      <w:r w:rsidRPr="00286E49">
        <w:t>biorstwa w rozumieniu przepisów  o zwalczaniu nieuczciwej konkurencji, zamawiaj</w:t>
      </w:r>
      <w:r w:rsidRPr="00286E49">
        <w:rPr>
          <w:rFonts w:eastAsia="TimesNewRoman"/>
        </w:rPr>
        <w:t>ą</w:t>
      </w:r>
      <w:r w:rsidRPr="00286E49">
        <w:t>cy zaleca, aby informacje zastrze</w:t>
      </w:r>
      <w:r w:rsidRPr="00286E49">
        <w:rPr>
          <w:rFonts w:eastAsia="TimesNewRoman"/>
        </w:rPr>
        <w:t>ż</w:t>
      </w:r>
      <w:r w:rsidRPr="00286E49">
        <w:t>one jako tajemnica przedsi</w:t>
      </w:r>
      <w:r w:rsidRPr="00286E49">
        <w:rPr>
          <w:rFonts w:eastAsia="TimesNewRoman"/>
        </w:rPr>
        <w:t>ę</w:t>
      </w:r>
      <w:r w:rsidRPr="00286E49">
        <w:t>biorstwa były przez wykonawc</w:t>
      </w:r>
      <w:r w:rsidRPr="00286E49">
        <w:rPr>
          <w:rFonts w:eastAsia="TimesNewRoman"/>
        </w:rPr>
        <w:t xml:space="preserve">ę </w:t>
      </w:r>
      <w:r w:rsidRPr="00286E49">
        <w:t>zło</w:t>
      </w:r>
      <w:r w:rsidRPr="00286E49">
        <w:rPr>
          <w:rFonts w:eastAsia="TimesNewRoman"/>
        </w:rPr>
        <w:t>ż</w:t>
      </w:r>
      <w:r w:rsidRPr="00286E49">
        <w:t>one w oddzielnej wewn</w:t>
      </w:r>
      <w:r w:rsidRPr="00286E49">
        <w:rPr>
          <w:rFonts w:eastAsia="TimesNewRoman"/>
        </w:rPr>
        <w:t>ę</w:t>
      </w:r>
      <w:r w:rsidRPr="00286E49">
        <w:t>trznej kopercie z oznakowaniem „tajemnica przedsi</w:t>
      </w:r>
      <w:r w:rsidRPr="00286E49">
        <w:rPr>
          <w:rFonts w:eastAsia="TimesNewRoman"/>
        </w:rPr>
        <w:t>ę</w:t>
      </w:r>
      <w:r w:rsidRPr="00286E49">
        <w:t>biorstwa” lub spi</w:t>
      </w:r>
      <w:r w:rsidRPr="00286E49">
        <w:rPr>
          <w:rFonts w:eastAsia="TimesNewRoman"/>
        </w:rPr>
        <w:t>ę</w:t>
      </w:r>
      <w:r w:rsidRPr="00286E49">
        <w:t>te (zszyte) oddzielnie od pozostałych, jawnych elementów oferty w sposób nie budzącą w</w:t>
      </w:r>
      <w:r w:rsidRPr="00286E49">
        <w:rPr>
          <w:rFonts w:eastAsia="TimesNewRoman"/>
        </w:rPr>
        <w:t>ą</w:t>
      </w:r>
      <w:r w:rsidRPr="00286E49">
        <w:t>tpliwo</w:t>
      </w:r>
      <w:r w:rsidRPr="00286E49">
        <w:rPr>
          <w:rFonts w:eastAsia="TimesNewRoman"/>
        </w:rPr>
        <w:t>ś</w:t>
      </w:r>
      <w:r w:rsidRPr="00286E49">
        <w:t>ci, które spo</w:t>
      </w:r>
      <w:r w:rsidRPr="00286E49">
        <w:rPr>
          <w:rFonts w:eastAsia="TimesNewRoman"/>
        </w:rPr>
        <w:t>ś</w:t>
      </w:r>
      <w:r w:rsidRPr="00286E49">
        <w:t>ród zawartych w ofercie informacji stanowi</w:t>
      </w:r>
      <w:r w:rsidRPr="00286E49">
        <w:rPr>
          <w:rFonts w:eastAsia="TimesNewRoman"/>
        </w:rPr>
        <w:t xml:space="preserve">ą </w:t>
      </w:r>
      <w:r w:rsidRPr="00286E49">
        <w:t>tak</w:t>
      </w:r>
      <w:r w:rsidRPr="00286E49">
        <w:rPr>
          <w:rFonts w:eastAsia="TimesNewRoman"/>
        </w:rPr>
        <w:t xml:space="preserve">ą </w:t>
      </w:r>
      <w:r w:rsidRPr="00286E49">
        <w:t>tajemnic</w:t>
      </w:r>
      <w:r w:rsidRPr="00286E49">
        <w:rPr>
          <w:rFonts w:eastAsia="TimesNewRoman"/>
        </w:rPr>
        <w:t>ę</w:t>
      </w:r>
      <w:r w:rsidRPr="00286E49">
        <w:t xml:space="preserve">. </w:t>
      </w:r>
    </w:p>
    <w:p w:rsidR="006A1CDC" w:rsidRPr="00286E49" w:rsidRDefault="006A1CDC" w:rsidP="00B40719">
      <w:pPr>
        <w:jc w:val="both"/>
      </w:pPr>
    </w:p>
    <w:p w:rsidR="006A1CDC" w:rsidRPr="00286E49" w:rsidRDefault="006A1CDC" w:rsidP="00B40719">
      <w:pPr>
        <w:jc w:val="both"/>
        <w:rPr>
          <w:b/>
          <w:bCs/>
        </w:rPr>
      </w:pPr>
      <w:r w:rsidRPr="00286E49">
        <w:rPr>
          <w:b/>
          <w:bCs/>
        </w:rPr>
        <w:t>Rozdział 20</w:t>
      </w:r>
    </w:p>
    <w:p w:rsidR="006A1CDC" w:rsidRPr="00286E49" w:rsidRDefault="006A1CDC" w:rsidP="00B40719">
      <w:pPr>
        <w:jc w:val="both"/>
        <w:rPr>
          <w:b/>
          <w:bCs/>
        </w:rPr>
      </w:pPr>
      <w:r w:rsidRPr="00286E49">
        <w:rPr>
          <w:b/>
          <w:bCs/>
        </w:rPr>
        <w:t>Miejsce oraz terminu składania i otwarcia ofert</w:t>
      </w:r>
    </w:p>
    <w:p w:rsidR="006A1CDC" w:rsidRPr="00286E49" w:rsidRDefault="006A1CDC" w:rsidP="00B40719">
      <w:pPr>
        <w:jc w:val="both"/>
      </w:pPr>
    </w:p>
    <w:p w:rsidR="006A1CDC" w:rsidRPr="00286E49" w:rsidRDefault="006A1CDC" w:rsidP="00B40719">
      <w:pPr>
        <w:numPr>
          <w:ilvl w:val="0"/>
          <w:numId w:val="18"/>
        </w:numPr>
        <w:jc w:val="both"/>
      </w:pPr>
      <w:r w:rsidRPr="00286E49">
        <w:t>Ofertę należy złożyć w zamkniętej kopercie i powinna być opisana w następujący sposób: ZAKUP AUTOBUSÓW -  Nie otwierać przed:   ……………….. godz. …………….</w:t>
      </w:r>
    </w:p>
    <w:p w:rsidR="006A1CDC" w:rsidRPr="00286E49" w:rsidRDefault="006A1CDC" w:rsidP="00B40719">
      <w:pPr>
        <w:numPr>
          <w:ilvl w:val="0"/>
          <w:numId w:val="18"/>
        </w:numPr>
        <w:jc w:val="both"/>
      </w:pPr>
      <w:r w:rsidRPr="00286E49">
        <w:t>Ofertę należy złożyć w siedzibie zamawiającego w Biurze Podawczym Urzędu Miejskiego, Stary Rynek 1, 89-600 Chojnice   - w nieprzekraczalnym terminie do dnia: ……………….. (decyduje data wpływu do Zamawiającego).</w:t>
      </w:r>
    </w:p>
    <w:p w:rsidR="006A1CDC" w:rsidRPr="00286E49" w:rsidRDefault="006A1CDC" w:rsidP="00B40719">
      <w:pPr>
        <w:numPr>
          <w:ilvl w:val="0"/>
          <w:numId w:val="18"/>
        </w:numPr>
        <w:jc w:val="both"/>
      </w:pPr>
      <w:r w:rsidRPr="00286E49">
        <w:t>Otwarcie ofert nastąpi w siedzibie zamawiającego w pok. 611 w dniu …………….  o godz……………...</w:t>
      </w:r>
    </w:p>
    <w:p w:rsidR="006A1CDC" w:rsidRPr="00286E49" w:rsidRDefault="006A1CDC" w:rsidP="00B40719">
      <w:pPr>
        <w:numPr>
          <w:ilvl w:val="0"/>
          <w:numId w:val="18"/>
        </w:numPr>
        <w:jc w:val="both"/>
      </w:pPr>
      <w:r w:rsidRPr="00286E49">
        <w:t>Podczas otwarcia ofert zamawiający poda informacje, o których mowa w art. 86 ust. 4 Pzp tj:</w:t>
      </w:r>
    </w:p>
    <w:p w:rsidR="006A1CDC" w:rsidRPr="00286E49" w:rsidRDefault="006A1CDC" w:rsidP="00B40719">
      <w:pPr>
        <w:jc w:val="both"/>
      </w:pPr>
      <w:r w:rsidRPr="00286E49">
        <w:t>-</w:t>
      </w:r>
      <w:r w:rsidRPr="00286E49">
        <w:tab/>
        <w:t xml:space="preserve">nazwy (firmy) oraz adresy wykonawców, </w:t>
      </w:r>
    </w:p>
    <w:p w:rsidR="006A1CDC" w:rsidRPr="00286E49" w:rsidRDefault="006A1CDC" w:rsidP="00B40719">
      <w:pPr>
        <w:jc w:val="both"/>
      </w:pPr>
      <w:r w:rsidRPr="00286E49">
        <w:t>-</w:t>
      </w:r>
      <w:r w:rsidRPr="00286E49">
        <w:tab/>
        <w:t xml:space="preserve">informacje dotyczące ceny, terminu wykonania zamówienia, okresu gwarancji i </w:t>
      </w:r>
      <w:r w:rsidRPr="00286E49">
        <w:tab/>
        <w:t>warunków płatności zawartych w ofertach.</w:t>
      </w:r>
    </w:p>
    <w:p w:rsidR="006A1CDC" w:rsidRPr="00286E49" w:rsidRDefault="006A1CDC" w:rsidP="00B40719">
      <w:pPr>
        <w:jc w:val="both"/>
      </w:pPr>
    </w:p>
    <w:p w:rsidR="006A1CDC" w:rsidRPr="00286E49" w:rsidRDefault="006A1CDC" w:rsidP="00B40719">
      <w:pPr>
        <w:jc w:val="both"/>
      </w:pPr>
      <w:r w:rsidRPr="00286E49">
        <w:tab/>
        <w:t>Składanie oferty odbywa się:</w:t>
      </w:r>
    </w:p>
    <w:p w:rsidR="006A1CDC" w:rsidRPr="00286E49" w:rsidRDefault="006A1CDC" w:rsidP="00B40719">
      <w:pPr>
        <w:jc w:val="both"/>
      </w:pPr>
      <w:r w:rsidRPr="00286E49">
        <w:t>-</w:t>
      </w:r>
      <w:r w:rsidRPr="00286E49">
        <w:tab/>
        <w:t xml:space="preserve">za pośrednictwem operatora pocztowego w rozumieniu ustawy z dnia 23 listopada </w:t>
      </w:r>
      <w:r w:rsidRPr="00286E49">
        <w:tab/>
        <w:t xml:space="preserve">2012 r. – Prawo pocztowe (Dz. U. poz. 1529 oraz z 2015 r. poz. 1830), </w:t>
      </w:r>
    </w:p>
    <w:p w:rsidR="006A1CDC" w:rsidRPr="00286E49" w:rsidRDefault="006A1CDC" w:rsidP="00B40719">
      <w:pPr>
        <w:jc w:val="both"/>
      </w:pPr>
      <w:r w:rsidRPr="00286E49">
        <w:t>-</w:t>
      </w:r>
      <w:r w:rsidRPr="00286E49">
        <w:tab/>
        <w:t>osobiście,</w:t>
      </w:r>
    </w:p>
    <w:p w:rsidR="006A1CDC" w:rsidRPr="00286E49" w:rsidRDefault="006A1CDC" w:rsidP="00B40719">
      <w:pPr>
        <w:jc w:val="both"/>
      </w:pPr>
      <w:r w:rsidRPr="00286E49">
        <w:t>-</w:t>
      </w:r>
      <w:r w:rsidRPr="00286E49">
        <w:tab/>
        <w:t>lub za pośrednictwem posłańca.</w:t>
      </w:r>
    </w:p>
    <w:p w:rsidR="006A1CDC" w:rsidRPr="00286E49" w:rsidRDefault="006A1CDC" w:rsidP="00B40719">
      <w:pPr>
        <w:jc w:val="both"/>
      </w:pPr>
    </w:p>
    <w:p w:rsidR="006A1CDC" w:rsidRPr="00286E49" w:rsidRDefault="006A1CDC" w:rsidP="00B40719">
      <w:pPr>
        <w:jc w:val="both"/>
      </w:pPr>
      <w:r w:rsidRPr="00286E49">
        <w:t xml:space="preserve">5.    Niezwłocznie po otwarciu ofert zamawiający zamieszcza na stronie internetowej </w:t>
      </w:r>
      <w:r w:rsidRPr="00286E49">
        <w:tab/>
        <w:t>informacje dotyczące:</w:t>
      </w:r>
    </w:p>
    <w:p w:rsidR="006A1CDC" w:rsidRPr="00286E49" w:rsidRDefault="006A1CDC" w:rsidP="00B40719">
      <w:pPr>
        <w:jc w:val="both"/>
      </w:pPr>
      <w:r w:rsidRPr="00286E49">
        <w:t xml:space="preserve">1) </w:t>
      </w:r>
      <w:r w:rsidRPr="00286E49">
        <w:tab/>
        <w:t>kwoty, jaką zamierza przeznaczyć na sfinansowanie zamówienia;</w:t>
      </w:r>
    </w:p>
    <w:p w:rsidR="006A1CDC" w:rsidRPr="00286E49" w:rsidRDefault="006A1CDC" w:rsidP="00B40719">
      <w:pPr>
        <w:jc w:val="both"/>
      </w:pPr>
      <w:r w:rsidRPr="00286E49">
        <w:t xml:space="preserve">2) </w:t>
      </w:r>
      <w:r w:rsidRPr="00286E49">
        <w:tab/>
        <w:t>firm oraz adresów wykonawców, którzy złożyli oferty w terminie;</w:t>
      </w:r>
    </w:p>
    <w:p w:rsidR="006A1CDC" w:rsidRPr="00286E49" w:rsidRDefault="006A1CDC" w:rsidP="00B40719">
      <w:pPr>
        <w:jc w:val="both"/>
      </w:pPr>
      <w:r w:rsidRPr="00286E49">
        <w:t>3)</w:t>
      </w:r>
      <w:r w:rsidRPr="00286E49">
        <w:tab/>
        <w:t xml:space="preserve">ceny, terminu wykonania zamówienia, okresu gwarancji i warunków płatności </w:t>
      </w:r>
      <w:r w:rsidRPr="00286E49">
        <w:tab/>
        <w:t>zawartych w ofertach.</w:t>
      </w:r>
    </w:p>
    <w:p w:rsidR="006A1CDC" w:rsidRPr="00286E49" w:rsidRDefault="006A1CDC" w:rsidP="009125AD">
      <w:pPr>
        <w:ind w:left="360"/>
        <w:jc w:val="both"/>
      </w:pPr>
      <w:r w:rsidRPr="00286E49">
        <w:t xml:space="preserve">6. Zamawiający niezwłocznie zawiadomi Wykonawcę o złożeniu oferty po terminie </w:t>
      </w:r>
      <w:r w:rsidRPr="00286E49">
        <w:tab/>
        <w:t>zwracając ją po upływie terminu do wniesienia odwołania.</w:t>
      </w:r>
    </w:p>
    <w:p w:rsidR="006A1CDC" w:rsidRPr="00286E49" w:rsidRDefault="006A1CDC" w:rsidP="009C02E4"/>
    <w:p w:rsidR="006A1CDC" w:rsidRPr="00286E49" w:rsidRDefault="006A1CDC" w:rsidP="009C02E4">
      <w:pPr>
        <w:rPr>
          <w:b/>
          <w:bCs/>
        </w:rPr>
      </w:pPr>
      <w:r w:rsidRPr="00286E49">
        <w:rPr>
          <w:b/>
          <w:bCs/>
        </w:rPr>
        <w:t>Rozdział 21</w:t>
      </w:r>
    </w:p>
    <w:p w:rsidR="006A1CDC" w:rsidRPr="00286E49" w:rsidRDefault="006A1CDC" w:rsidP="009C02E4">
      <w:pPr>
        <w:rPr>
          <w:b/>
          <w:bCs/>
        </w:rPr>
      </w:pPr>
      <w:r w:rsidRPr="00286E49">
        <w:rPr>
          <w:b/>
          <w:bCs/>
        </w:rPr>
        <w:t>Rażąco niska cena</w:t>
      </w:r>
    </w:p>
    <w:p w:rsidR="006A1CDC" w:rsidRPr="00286E49" w:rsidRDefault="006A1CDC" w:rsidP="009C02E4"/>
    <w:p w:rsidR="006A1CDC" w:rsidRPr="00286E49" w:rsidRDefault="006A1CDC" w:rsidP="00551870">
      <w:pPr>
        <w:numPr>
          <w:ilvl w:val="0"/>
          <w:numId w:val="20"/>
        </w:numPr>
        <w:jc w:val="both"/>
      </w:pPr>
      <w:r w:rsidRPr="00286E49">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t>
      </w:r>
      <w:r w:rsidRPr="00286E49">
        <w:br/>
        <w:t>w szczególności  w zakresie:</w:t>
      </w:r>
    </w:p>
    <w:p w:rsidR="006A1CDC" w:rsidRPr="00286E49" w:rsidRDefault="006A1CDC" w:rsidP="00B40719">
      <w:pPr>
        <w:jc w:val="both"/>
      </w:pPr>
      <w:r w:rsidRPr="00286E49">
        <w:t>-</w:t>
      </w:r>
      <w:r w:rsidRPr="00286E49">
        <w:tab/>
        <w:t xml:space="preserve">oszczędności metody wykonania zamówienia, wybranych rozwiązań technicznych, </w:t>
      </w:r>
      <w:r w:rsidRPr="00286E49">
        <w:tab/>
        <w:t xml:space="preserve">wyjątkowo sprzyjających warunków wykonywania zamówienia dostępnych dla </w:t>
      </w:r>
      <w:r w:rsidRPr="00286E49">
        <w:tab/>
        <w:t xml:space="preserve">wykonawcy, oryginalności projektu wykonawcy, kosztów pracy, których wartość </w:t>
      </w:r>
      <w:r w:rsidRPr="00286E49">
        <w:tab/>
        <w:t xml:space="preserve">przyjęta do ustalenia ceny nie może być niższa od minimalnego wynagrodzenia za </w:t>
      </w:r>
      <w:r w:rsidRPr="00286E49">
        <w:tab/>
        <w:t xml:space="preserve">pracę ustalonego na podstawie art. 2 ust. 3-5 ustawy z dnia 10 października 2002 r. o </w:t>
      </w:r>
      <w:r w:rsidRPr="00286E49">
        <w:tab/>
        <w:t>minimalnym wynagrodzeniu za pracę (Dz. U. Nr 200, poz. 1679, z późn. zm.);</w:t>
      </w:r>
    </w:p>
    <w:p w:rsidR="006A1CDC" w:rsidRPr="00286E49" w:rsidRDefault="006A1CDC" w:rsidP="00B40719">
      <w:pPr>
        <w:jc w:val="both"/>
      </w:pPr>
      <w:r w:rsidRPr="00286E49">
        <w:t>-</w:t>
      </w:r>
      <w:r w:rsidRPr="00286E49">
        <w:tab/>
        <w:t>pomocy publicznej udzielonej na podstawie odrębnych przepisów,</w:t>
      </w:r>
    </w:p>
    <w:p w:rsidR="006A1CDC" w:rsidRPr="00286E49" w:rsidRDefault="006A1CDC" w:rsidP="00B40719">
      <w:pPr>
        <w:jc w:val="both"/>
      </w:pPr>
      <w:r w:rsidRPr="00286E49">
        <w:t>-</w:t>
      </w:r>
      <w:r w:rsidRPr="00286E49">
        <w:tab/>
        <w:t xml:space="preserve">wynikającym z przepisów prawa pracy i przepisów o zabezpieczeniu społecznym, </w:t>
      </w:r>
      <w:r w:rsidRPr="00286E49">
        <w:tab/>
        <w:t>obowiązujących  w miejscu, w którym realizowane jest zamówienie,</w:t>
      </w:r>
    </w:p>
    <w:p w:rsidR="006A1CDC" w:rsidRPr="00286E49" w:rsidRDefault="006A1CDC" w:rsidP="00B40719">
      <w:pPr>
        <w:jc w:val="both"/>
      </w:pPr>
      <w:r w:rsidRPr="00286E49">
        <w:t>-</w:t>
      </w:r>
      <w:r w:rsidRPr="00286E49">
        <w:tab/>
        <w:t>wynikającym z przepisów prawa ochrony środowiska,</w:t>
      </w:r>
    </w:p>
    <w:p w:rsidR="006A1CDC" w:rsidRPr="00286E49" w:rsidRDefault="006A1CDC" w:rsidP="00B40719">
      <w:pPr>
        <w:jc w:val="both"/>
      </w:pPr>
      <w:r w:rsidRPr="00286E49">
        <w:t>-</w:t>
      </w:r>
      <w:r w:rsidRPr="00286E49">
        <w:tab/>
        <w:t>powierzenia wykonania części zamówienia podwykonawcy.</w:t>
      </w:r>
    </w:p>
    <w:p w:rsidR="006A1CDC" w:rsidRPr="00286E49" w:rsidRDefault="006A1CDC" w:rsidP="00B40719">
      <w:pPr>
        <w:jc w:val="both"/>
      </w:pPr>
    </w:p>
    <w:p w:rsidR="006A1CDC" w:rsidRPr="00286E49" w:rsidRDefault="006A1CDC" w:rsidP="00B40719">
      <w:pPr>
        <w:jc w:val="both"/>
      </w:pPr>
      <w:r w:rsidRPr="00286E49">
        <w:t>2.</w:t>
      </w:r>
      <w:r w:rsidRPr="00286E49">
        <w:tab/>
        <w:t>W przypadku gdy cena całkowita oferty jest niższa o co najmniej 30% od:</w:t>
      </w:r>
    </w:p>
    <w:p w:rsidR="006A1CDC" w:rsidRPr="00286E49" w:rsidRDefault="006A1CDC" w:rsidP="00B40719">
      <w:pPr>
        <w:jc w:val="both"/>
      </w:pPr>
      <w:r w:rsidRPr="00286E49">
        <w:t>-</w:t>
      </w:r>
      <w:r w:rsidRPr="00286E49">
        <w:tab/>
        <w:t xml:space="preserve">wartości zamówienia powiększonej o należny podatek od towarów i usług, ustalonej </w:t>
      </w:r>
      <w:r w:rsidRPr="00286E49">
        <w:tab/>
        <w:t xml:space="preserve">przed wszczęciem postępowania zgodnie z art. 35 ust. 1 i 2 lub średniej arytmetycznej </w:t>
      </w:r>
      <w:r w:rsidRPr="00286E49">
        <w:tab/>
        <w:t xml:space="preserve">cen wszystkich złożonych ofert, zamawiający zwraca się o udzielenie wyjaśnień, o </w:t>
      </w:r>
      <w:r w:rsidRPr="00286E49">
        <w:tab/>
        <w:t xml:space="preserve">których mowa w ust. 1, chyba że rozbieżność wynika  z okoliczności oczywistych, </w:t>
      </w:r>
      <w:r w:rsidRPr="00286E49">
        <w:tab/>
        <w:t>które nie wymagają wyjaśnienia;</w:t>
      </w:r>
    </w:p>
    <w:p w:rsidR="006A1CDC" w:rsidRPr="00286E49" w:rsidRDefault="006A1CDC" w:rsidP="00B40719">
      <w:pPr>
        <w:jc w:val="both"/>
      </w:pPr>
      <w:r w:rsidRPr="00286E49">
        <w:t>-</w:t>
      </w:r>
      <w:r w:rsidRPr="00286E49">
        <w:tab/>
        <w:t xml:space="preserve">wartości zamówienia powiększonej o należny podatek od towarów i usług, </w:t>
      </w:r>
      <w:r w:rsidRPr="00286E49">
        <w:tab/>
        <w:t xml:space="preserve">zaktualizowanej z uwzględnieniem okoliczności, które nastąpiły po wszczęciu </w:t>
      </w:r>
      <w:r w:rsidRPr="00286E49">
        <w:tab/>
        <w:t xml:space="preserve">postępowania, w szczególności istotnej zmiany cen rynkowych, zamawiający może </w:t>
      </w:r>
      <w:r w:rsidRPr="00286E49">
        <w:tab/>
        <w:t xml:space="preserve">zwrócić się o udzielenie wyjaśnień, o których mowa w ust. 1 </w:t>
      </w:r>
    </w:p>
    <w:p w:rsidR="006A1CDC" w:rsidRPr="00286E49" w:rsidRDefault="006A1CDC" w:rsidP="00B40719">
      <w:pPr>
        <w:jc w:val="both"/>
      </w:pPr>
      <w:r w:rsidRPr="00286E49">
        <w:t>3.</w:t>
      </w:r>
      <w:r w:rsidRPr="00286E49">
        <w:tab/>
        <w:t xml:space="preserve">Obowiązek wykazania, że oferta nie zawiera rażąco niskiej ceny spoczywa na </w:t>
      </w:r>
      <w:r w:rsidRPr="00286E49">
        <w:tab/>
        <w:t>wykonawcy.</w:t>
      </w:r>
    </w:p>
    <w:p w:rsidR="006A1CDC" w:rsidRPr="00286E49" w:rsidRDefault="006A1CDC" w:rsidP="00B40719">
      <w:pPr>
        <w:jc w:val="both"/>
      </w:pPr>
      <w:r w:rsidRPr="00286E49">
        <w:t>4.</w:t>
      </w:r>
      <w:r w:rsidRPr="00286E49">
        <w:tab/>
        <w:t xml:space="preserve">Zamawiający odrzuca ofertę wykonawcy, który nie udzielił wyjaśnień lub jeżeli </w:t>
      </w:r>
      <w:r w:rsidRPr="00286E49">
        <w:tab/>
        <w:t xml:space="preserve">dokonana ocena wyjaśnień wraz  ze złożonymi dowodami potwierdza, że oferta </w:t>
      </w:r>
      <w:r w:rsidRPr="00286E49">
        <w:tab/>
        <w:t>zawiera rażąco niską cenę lub koszt w stosunku do przedmiotu zamówienia.</w:t>
      </w:r>
    </w:p>
    <w:p w:rsidR="006A1CDC" w:rsidRPr="00286E49" w:rsidRDefault="006A1CDC" w:rsidP="009C02E4">
      <w:pPr>
        <w:rPr>
          <w:b/>
          <w:bCs/>
        </w:rPr>
      </w:pPr>
    </w:p>
    <w:p w:rsidR="006A1CDC" w:rsidRPr="00286E49" w:rsidRDefault="006A1CDC" w:rsidP="00B40719">
      <w:pPr>
        <w:jc w:val="both"/>
        <w:rPr>
          <w:b/>
          <w:bCs/>
        </w:rPr>
      </w:pPr>
    </w:p>
    <w:p w:rsidR="006A1CDC" w:rsidRPr="00286E49" w:rsidRDefault="006A1CDC" w:rsidP="00B40719">
      <w:pPr>
        <w:jc w:val="both"/>
        <w:rPr>
          <w:b/>
          <w:bCs/>
        </w:rPr>
      </w:pPr>
    </w:p>
    <w:p w:rsidR="006A1CDC" w:rsidRPr="00286E49" w:rsidRDefault="006A1CDC" w:rsidP="00B40719">
      <w:pPr>
        <w:jc w:val="both"/>
        <w:rPr>
          <w:b/>
          <w:bCs/>
        </w:rPr>
      </w:pPr>
      <w:r w:rsidRPr="00286E49">
        <w:rPr>
          <w:b/>
          <w:bCs/>
        </w:rPr>
        <w:t>Rozdział 22</w:t>
      </w:r>
    </w:p>
    <w:p w:rsidR="006A1CDC" w:rsidRPr="00286E49" w:rsidRDefault="006A1CDC" w:rsidP="00B40719">
      <w:pPr>
        <w:jc w:val="both"/>
        <w:rPr>
          <w:b/>
          <w:bCs/>
        </w:rPr>
      </w:pPr>
      <w:r w:rsidRPr="00286E49">
        <w:rPr>
          <w:b/>
          <w:bCs/>
        </w:rPr>
        <w:t>Kryteria oceny ofert</w:t>
      </w:r>
    </w:p>
    <w:p w:rsidR="006A1CDC" w:rsidRPr="00286E49" w:rsidRDefault="006A1CDC" w:rsidP="00B40719">
      <w:pPr>
        <w:jc w:val="both"/>
      </w:pPr>
      <w:r w:rsidRPr="00286E49">
        <w:tab/>
      </w:r>
    </w:p>
    <w:p w:rsidR="006A1CDC" w:rsidRPr="00286E49" w:rsidRDefault="006A1CDC" w:rsidP="00551870">
      <w:pPr>
        <w:numPr>
          <w:ilvl w:val="1"/>
          <w:numId w:val="8"/>
        </w:numPr>
        <w:jc w:val="both"/>
      </w:pPr>
      <w:r w:rsidRPr="00286E49">
        <w:t xml:space="preserve">Zamawiający zgodnie z przepisami ustawy Prawo zamówień publicznych tj. art. 91 pzp określił poniżej wszystkie kryteria, szczegółowo je opisując w sposób jednoznaczny i zrozumiały wskazując do czego się odnoszą oraz w jaki sposób nastąpi ocena treści oferty przy ich zastosowaniu. Sposób oceny ofert jest w taki sposób skonstruowany, aby zapewniał obiektywną ocenę złożonych ofert. Wyłączona zostaje możliwość subiektywnej, uznaniowej </w:t>
      </w:r>
      <w:r w:rsidRPr="00286E49">
        <w:br/>
        <w:t xml:space="preserve">i dowolnej oceny dokonanej przez członków komisji przetargowej lub innych osób wykonujących czynności w tym zakresie ze strony zamawiającego. Szczegółowość, kompletność i jednoznaczność opisu kryteriów oceny ofert umożliwia każdemu znającemu treść ofert dokonanie ich właściwej i obiektywnie uzasadnionej oceny i hierarchizacji  </w:t>
      </w:r>
      <w:r w:rsidRPr="00286E49">
        <w:br/>
        <w:t>w rankingu ofert najkorzystniejszych.</w:t>
      </w:r>
    </w:p>
    <w:p w:rsidR="006A1CDC" w:rsidRPr="00286E49" w:rsidRDefault="006A1CDC" w:rsidP="00551870">
      <w:pPr>
        <w:ind w:left="1080"/>
        <w:jc w:val="both"/>
      </w:pPr>
    </w:p>
    <w:p w:rsidR="006A1CDC" w:rsidRPr="00286E49" w:rsidRDefault="006A1CDC" w:rsidP="00551870">
      <w:pPr>
        <w:numPr>
          <w:ilvl w:val="1"/>
          <w:numId w:val="8"/>
        </w:numPr>
        <w:jc w:val="both"/>
      </w:pPr>
      <w:r w:rsidRPr="00286E49">
        <w:t>Kryteriami oceny ofert są:</w:t>
      </w:r>
    </w:p>
    <w:p w:rsidR="006A1CDC" w:rsidRPr="00286E49" w:rsidRDefault="006A1CDC" w:rsidP="009C02E4"/>
    <w:tbl>
      <w:tblPr>
        <w:tblW w:w="9866" w:type="dxa"/>
        <w:tblInd w:w="2" w:type="dxa"/>
        <w:tblLayout w:type="fixed"/>
        <w:tblLook w:val="0000"/>
      </w:tblPr>
      <w:tblGrid>
        <w:gridCol w:w="1205"/>
        <w:gridCol w:w="3469"/>
        <w:gridCol w:w="2596"/>
        <w:gridCol w:w="2596"/>
      </w:tblGrid>
      <w:tr w:rsidR="006A1CDC" w:rsidRPr="00286E49">
        <w:trPr>
          <w:trHeight w:val="340"/>
        </w:trPr>
        <w:tc>
          <w:tcPr>
            <w:tcW w:w="1205" w:type="dxa"/>
            <w:tcBorders>
              <w:top w:val="single" w:sz="4" w:space="0" w:color="000000"/>
              <w:left w:val="single" w:sz="4" w:space="0" w:color="000000"/>
              <w:bottom w:val="single" w:sz="4" w:space="0" w:color="000000"/>
            </w:tcBorders>
          </w:tcPr>
          <w:p w:rsidR="006A1CDC" w:rsidRPr="00286E49" w:rsidRDefault="006A1CDC" w:rsidP="009C02E4">
            <w:r w:rsidRPr="00286E49">
              <w:t>lp</w:t>
            </w:r>
          </w:p>
        </w:tc>
        <w:tc>
          <w:tcPr>
            <w:tcW w:w="3469" w:type="dxa"/>
            <w:tcBorders>
              <w:top w:val="single" w:sz="4" w:space="0" w:color="000000"/>
              <w:left w:val="single" w:sz="4" w:space="0" w:color="000000"/>
              <w:bottom w:val="single" w:sz="4" w:space="0" w:color="000000"/>
            </w:tcBorders>
          </w:tcPr>
          <w:p w:rsidR="006A1CDC" w:rsidRPr="00286E49" w:rsidRDefault="006A1CDC" w:rsidP="009C02E4">
            <w:r w:rsidRPr="00286E49">
              <w:t>Kryterium</w:t>
            </w:r>
          </w:p>
        </w:tc>
        <w:tc>
          <w:tcPr>
            <w:tcW w:w="2596" w:type="dxa"/>
            <w:tcBorders>
              <w:top w:val="single" w:sz="4" w:space="0" w:color="000000"/>
              <w:left w:val="single" w:sz="4" w:space="0" w:color="000000"/>
              <w:bottom w:val="single" w:sz="4" w:space="0" w:color="000000"/>
              <w:right w:val="single" w:sz="4" w:space="0" w:color="000000"/>
            </w:tcBorders>
          </w:tcPr>
          <w:p w:rsidR="006A1CDC" w:rsidRPr="00286E49" w:rsidRDefault="006A1CDC" w:rsidP="00C321E8">
            <w:r w:rsidRPr="00286E49">
              <w:t>Waga kryterium%</w:t>
            </w:r>
          </w:p>
          <w:p w:rsidR="006A1CDC" w:rsidRPr="00286E49" w:rsidRDefault="006A1CDC" w:rsidP="00C321E8">
            <w:r w:rsidRPr="00286E49">
              <w:t>MAXI</w:t>
            </w:r>
          </w:p>
        </w:tc>
        <w:tc>
          <w:tcPr>
            <w:tcW w:w="259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Waga kryterium%</w:t>
            </w:r>
          </w:p>
          <w:p w:rsidR="006A1CDC" w:rsidRPr="00286E49" w:rsidRDefault="006A1CDC" w:rsidP="009C02E4">
            <w:r w:rsidRPr="00286E49">
              <w:t>MINI</w:t>
            </w:r>
          </w:p>
        </w:tc>
      </w:tr>
      <w:tr w:rsidR="006A1CDC" w:rsidRPr="00286E49">
        <w:trPr>
          <w:trHeight w:val="340"/>
        </w:trPr>
        <w:tc>
          <w:tcPr>
            <w:tcW w:w="1205" w:type="dxa"/>
            <w:tcBorders>
              <w:top w:val="single" w:sz="4" w:space="0" w:color="000000"/>
              <w:left w:val="single" w:sz="4" w:space="0" w:color="000000"/>
              <w:bottom w:val="single" w:sz="4" w:space="0" w:color="000000"/>
            </w:tcBorders>
          </w:tcPr>
          <w:p w:rsidR="006A1CDC" w:rsidRPr="00286E49" w:rsidRDefault="006A1CDC" w:rsidP="009C02E4">
            <w:r w:rsidRPr="00286E49">
              <w:t>1</w:t>
            </w:r>
          </w:p>
        </w:tc>
        <w:tc>
          <w:tcPr>
            <w:tcW w:w="3469" w:type="dxa"/>
            <w:tcBorders>
              <w:top w:val="single" w:sz="4" w:space="0" w:color="000000"/>
              <w:left w:val="single" w:sz="4" w:space="0" w:color="000000"/>
              <w:bottom w:val="single" w:sz="4" w:space="0" w:color="000000"/>
            </w:tcBorders>
          </w:tcPr>
          <w:p w:rsidR="006A1CDC" w:rsidRPr="00286E49" w:rsidRDefault="006A1CDC" w:rsidP="009C02E4">
            <w:r w:rsidRPr="00286E49">
              <w:t>Cena oferty (C)</w:t>
            </w:r>
          </w:p>
        </w:tc>
        <w:tc>
          <w:tcPr>
            <w:tcW w:w="2596" w:type="dxa"/>
            <w:tcBorders>
              <w:top w:val="single" w:sz="4" w:space="0" w:color="000000"/>
              <w:left w:val="single" w:sz="4" w:space="0" w:color="000000"/>
              <w:bottom w:val="single" w:sz="4" w:space="0" w:color="000000"/>
              <w:right w:val="single" w:sz="4" w:space="0" w:color="000000"/>
            </w:tcBorders>
          </w:tcPr>
          <w:p w:rsidR="006A1CDC" w:rsidRPr="00286E49" w:rsidRDefault="006A1CDC" w:rsidP="00C321E8">
            <w:r w:rsidRPr="00286E49">
              <w:t>60</w:t>
            </w:r>
          </w:p>
        </w:tc>
        <w:tc>
          <w:tcPr>
            <w:tcW w:w="259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60</w:t>
            </w:r>
          </w:p>
        </w:tc>
      </w:tr>
      <w:tr w:rsidR="006A1CDC" w:rsidRPr="00286E49">
        <w:trPr>
          <w:trHeight w:val="340"/>
        </w:trPr>
        <w:tc>
          <w:tcPr>
            <w:tcW w:w="1205" w:type="dxa"/>
            <w:tcBorders>
              <w:top w:val="single" w:sz="4" w:space="0" w:color="000000"/>
              <w:left w:val="single" w:sz="4" w:space="0" w:color="000000"/>
              <w:bottom w:val="single" w:sz="4" w:space="0" w:color="000000"/>
            </w:tcBorders>
          </w:tcPr>
          <w:p w:rsidR="006A1CDC" w:rsidRPr="00286E49" w:rsidRDefault="006A1CDC" w:rsidP="009C02E4">
            <w:r w:rsidRPr="00286E49">
              <w:t>2</w:t>
            </w:r>
          </w:p>
        </w:tc>
        <w:tc>
          <w:tcPr>
            <w:tcW w:w="3469" w:type="dxa"/>
            <w:tcBorders>
              <w:top w:val="single" w:sz="4" w:space="0" w:color="000000"/>
              <w:left w:val="single" w:sz="4" w:space="0" w:color="000000"/>
              <w:bottom w:val="single" w:sz="4" w:space="0" w:color="000000"/>
            </w:tcBorders>
          </w:tcPr>
          <w:p w:rsidR="006A1CDC" w:rsidRPr="00286E49" w:rsidRDefault="006A1CDC" w:rsidP="009C02E4">
            <w:r w:rsidRPr="00286E49">
              <w:t>Parametry techniczno – eksploatacyjne (T)</w:t>
            </w:r>
          </w:p>
        </w:tc>
        <w:tc>
          <w:tcPr>
            <w:tcW w:w="2596" w:type="dxa"/>
            <w:tcBorders>
              <w:top w:val="single" w:sz="4" w:space="0" w:color="000000"/>
              <w:left w:val="single" w:sz="4" w:space="0" w:color="000000"/>
              <w:bottom w:val="single" w:sz="4" w:space="0" w:color="000000"/>
              <w:right w:val="single" w:sz="4" w:space="0" w:color="000000"/>
            </w:tcBorders>
          </w:tcPr>
          <w:p w:rsidR="006A1CDC" w:rsidRPr="00286E49" w:rsidRDefault="006A1CDC" w:rsidP="00C321E8">
            <w:r w:rsidRPr="00286E49">
              <w:t>30</w:t>
            </w:r>
          </w:p>
        </w:tc>
        <w:tc>
          <w:tcPr>
            <w:tcW w:w="259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35</w:t>
            </w:r>
          </w:p>
        </w:tc>
      </w:tr>
      <w:tr w:rsidR="006A1CDC" w:rsidRPr="00286E49">
        <w:trPr>
          <w:trHeight w:val="340"/>
        </w:trPr>
        <w:tc>
          <w:tcPr>
            <w:tcW w:w="1205" w:type="dxa"/>
            <w:tcBorders>
              <w:top w:val="single" w:sz="4" w:space="0" w:color="000000"/>
              <w:left w:val="single" w:sz="4" w:space="0" w:color="000000"/>
              <w:bottom w:val="single" w:sz="4" w:space="0" w:color="000000"/>
            </w:tcBorders>
          </w:tcPr>
          <w:p w:rsidR="006A1CDC" w:rsidRPr="00286E49" w:rsidRDefault="006A1CDC" w:rsidP="009C02E4">
            <w:r w:rsidRPr="00286E49">
              <w:t>3</w:t>
            </w:r>
          </w:p>
        </w:tc>
        <w:tc>
          <w:tcPr>
            <w:tcW w:w="3469" w:type="dxa"/>
            <w:tcBorders>
              <w:top w:val="single" w:sz="4" w:space="0" w:color="000000"/>
              <w:left w:val="single" w:sz="4" w:space="0" w:color="000000"/>
              <w:bottom w:val="single" w:sz="4" w:space="0" w:color="000000"/>
            </w:tcBorders>
          </w:tcPr>
          <w:p w:rsidR="006A1CDC" w:rsidRPr="00286E49" w:rsidRDefault="006A1CDC" w:rsidP="009C02E4">
            <w:r w:rsidRPr="00286E49">
              <w:t>Gwarancja (G)</w:t>
            </w:r>
          </w:p>
        </w:tc>
        <w:tc>
          <w:tcPr>
            <w:tcW w:w="2596" w:type="dxa"/>
            <w:tcBorders>
              <w:top w:val="single" w:sz="4" w:space="0" w:color="000000"/>
              <w:left w:val="single" w:sz="4" w:space="0" w:color="000000"/>
              <w:bottom w:val="single" w:sz="4" w:space="0" w:color="000000"/>
              <w:right w:val="single" w:sz="4" w:space="0" w:color="000000"/>
            </w:tcBorders>
          </w:tcPr>
          <w:p w:rsidR="006A1CDC" w:rsidRPr="00286E49" w:rsidRDefault="006A1CDC" w:rsidP="00C321E8">
            <w:r w:rsidRPr="00286E49">
              <w:t>10</w:t>
            </w:r>
          </w:p>
        </w:tc>
        <w:tc>
          <w:tcPr>
            <w:tcW w:w="259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5</w:t>
            </w:r>
          </w:p>
        </w:tc>
      </w:tr>
    </w:tbl>
    <w:p w:rsidR="006A1CDC" w:rsidRPr="00286E49" w:rsidRDefault="006A1CDC" w:rsidP="009C02E4"/>
    <w:p w:rsidR="006A1CDC" w:rsidRPr="00286E49" w:rsidRDefault="006A1CDC" w:rsidP="00551870">
      <w:pPr>
        <w:numPr>
          <w:ilvl w:val="1"/>
          <w:numId w:val="8"/>
        </w:numPr>
      </w:pPr>
      <w:r w:rsidRPr="00286E49">
        <w:t>W ramach kryteriów oceny ofert - Zamawiający zastosował następujące podkryteria:</w:t>
      </w:r>
    </w:p>
    <w:p w:rsidR="006A1CDC" w:rsidRPr="00286E49" w:rsidRDefault="006A1CDC" w:rsidP="00551870">
      <w:pPr>
        <w:ind w:left="1080"/>
      </w:pPr>
    </w:p>
    <w:p w:rsidR="006A1CDC" w:rsidRPr="00286E49" w:rsidRDefault="006A1CDC" w:rsidP="009C02E4"/>
    <w:p w:rsidR="006A1CDC" w:rsidRPr="00286E49" w:rsidRDefault="006A1CDC" w:rsidP="009C02E4">
      <w:pPr>
        <w:rPr>
          <w:b/>
          <w:bCs/>
        </w:rPr>
      </w:pPr>
      <w:r w:rsidRPr="00286E49">
        <w:rPr>
          <w:b/>
          <w:bCs/>
        </w:rPr>
        <w:t>Część I dla autobusów „MAXI”- dwunastometrowych</w:t>
      </w:r>
    </w:p>
    <w:p w:rsidR="006A1CDC" w:rsidRPr="00286E49" w:rsidRDefault="006A1CDC" w:rsidP="009C02E4"/>
    <w:tbl>
      <w:tblPr>
        <w:tblW w:w="9863" w:type="dxa"/>
        <w:tblInd w:w="2" w:type="dxa"/>
        <w:tblLayout w:type="fixed"/>
        <w:tblLook w:val="0000"/>
      </w:tblPr>
      <w:tblGrid>
        <w:gridCol w:w="2141"/>
        <w:gridCol w:w="3637"/>
        <w:gridCol w:w="3091"/>
        <w:gridCol w:w="28"/>
        <w:gridCol w:w="966"/>
      </w:tblGrid>
      <w:tr w:rsidR="006A1CDC" w:rsidRPr="00286E49">
        <w:trPr>
          <w:trHeight w:val="384"/>
        </w:trPr>
        <w:tc>
          <w:tcPr>
            <w:tcW w:w="9863" w:type="dxa"/>
            <w:gridSpan w:val="5"/>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W zakresie kryterium „Parametry techniczno – eksploatacyjne”</w:t>
            </w:r>
          </w:p>
        </w:tc>
      </w:tr>
      <w:tr w:rsidR="006A1CDC" w:rsidRPr="00286E49">
        <w:trPr>
          <w:trHeight w:val="425"/>
        </w:trPr>
        <w:tc>
          <w:tcPr>
            <w:tcW w:w="2141" w:type="dxa"/>
            <w:vMerge w:val="restart"/>
            <w:tcBorders>
              <w:top w:val="single" w:sz="4" w:space="0" w:color="000000"/>
              <w:left w:val="single" w:sz="4" w:space="0" w:color="000000"/>
            </w:tcBorders>
            <w:vAlign w:val="center"/>
          </w:tcPr>
          <w:p w:rsidR="006A1CDC" w:rsidRPr="00286E49" w:rsidRDefault="006A1CDC" w:rsidP="009C02E4">
            <w:r w:rsidRPr="00286E49">
              <w:t>Podkryterium 1 (T1)</w:t>
            </w:r>
          </w:p>
        </w:tc>
        <w:tc>
          <w:tcPr>
            <w:tcW w:w="3637" w:type="dxa"/>
            <w:vMerge w:val="restart"/>
            <w:tcBorders>
              <w:top w:val="single" w:sz="4" w:space="0" w:color="000000"/>
              <w:left w:val="single" w:sz="4" w:space="0" w:color="000000"/>
              <w:bottom w:val="single" w:sz="4" w:space="0" w:color="000000"/>
            </w:tcBorders>
          </w:tcPr>
          <w:p w:rsidR="006A1CDC" w:rsidRPr="00286E49" w:rsidRDefault="006A1CDC" w:rsidP="009C02E4">
            <w:r w:rsidRPr="00286E49">
              <w:t>Wykonanie antykorozyjne nadwozia /podwozia.</w:t>
            </w:r>
          </w:p>
          <w:p w:rsidR="006A1CDC" w:rsidRPr="00286E49" w:rsidRDefault="006A1CDC" w:rsidP="009C02E4">
            <w:r w:rsidRPr="00286E49">
              <w:t>Elementy szkieletu i nadwozia / podwozia wykonane w  technologii zapewniającej minimum dwunastoletni okres eksploatacji bez wykonywania ich napraw spowodowanych korozją.</w:t>
            </w:r>
          </w:p>
          <w:p w:rsidR="006A1CDC" w:rsidRPr="00286E49" w:rsidRDefault="006A1CDC" w:rsidP="009C02E4">
            <w:r w:rsidRPr="00286E49">
              <w:t>Zamawiający wymaga wykonania elementów podwozia i elementów szkieletu nadwozia z aluminium, stali nierdzewnej lub innej pod warunkiem zastosowania zabezpieczenia antykorozyjnego gwarantującego skuteczne zabezpieczenie antykorozyjne na cały okres eksploatacji bez konieczności ponoszenia przez Zamawiającego dodatkowych kosztów na okresowe zabiegi konserwacyjne.</w:t>
            </w:r>
          </w:p>
          <w:p w:rsidR="006A1CDC" w:rsidRPr="00286E49" w:rsidRDefault="006A1CDC" w:rsidP="009C02E4"/>
        </w:tc>
        <w:tc>
          <w:tcPr>
            <w:tcW w:w="4085"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357"/>
        </w:trPr>
        <w:tc>
          <w:tcPr>
            <w:tcW w:w="2141" w:type="dxa"/>
            <w:vMerge/>
            <w:tcBorders>
              <w:left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091" w:type="dxa"/>
            <w:tcBorders>
              <w:top w:val="single" w:sz="4" w:space="0" w:color="000000"/>
              <w:left w:val="single" w:sz="4" w:space="0" w:color="000000"/>
              <w:bottom w:val="single" w:sz="4" w:space="0" w:color="auto"/>
            </w:tcBorders>
          </w:tcPr>
          <w:p w:rsidR="006A1CDC" w:rsidRPr="00286E49" w:rsidRDefault="006A1CDC" w:rsidP="009C02E4">
            <w:r w:rsidRPr="00286E49">
              <w:t>Autobus, w którym nie występuje konieczność zabezpieczenia antykorozyjnego profili zamkniętych i przestrzeni wewnętrznych nadwozia / podwozia w okresie min.12 lat eksploatacji otrzyma:</w:t>
            </w:r>
          </w:p>
          <w:p w:rsidR="006A1CDC" w:rsidRPr="00286E49" w:rsidRDefault="006A1CDC" w:rsidP="009C02E4">
            <w:r w:rsidRPr="00286E49">
              <w:t xml:space="preserve">Okres gwarancji w tym przypadku wynosi min. 12 lat </w:t>
            </w:r>
          </w:p>
        </w:tc>
        <w:tc>
          <w:tcPr>
            <w:tcW w:w="994" w:type="dxa"/>
            <w:gridSpan w:val="2"/>
            <w:tcBorders>
              <w:top w:val="single" w:sz="4" w:space="0" w:color="000000"/>
              <w:left w:val="single" w:sz="4" w:space="0" w:color="000000"/>
              <w:bottom w:val="single" w:sz="4" w:space="0" w:color="auto"/>
              <w:right w:val="single" w:sz="4" w:space="0" w:color="000000"/>
            </w:tcBorders>
          </w:tcPr>
          <w:p w:rsidR="006A1CDC" w:rsidRPr="00286E49" w:rsidRDefault="006A1CDC" w:rsidP="009C02E4">
            <w:r w:rsidRPr="00286E49">
              <w:t>3 pkt</w:t>
            </w:r>
          </w:p>
        </w:tc>
      </w:tr>
      <w:tr w:rsidR="006A1CDC" w:rsidRPr="00286E49">
        <w:trPr>
          <w:trHeight w:val="1797"/>
        </w:trPr>
        <w:tc>
          <w:tcPr>
            <w:tcW w:w="2141" w:type="dxa"/>
            <w:vMerge/>
            <w:tcBorders>
              <w:left w:val="single" w:sz="4" w:space="0" w:color="000000"/>
              <w:bottom w:val="single" w:sz="4" w:space="0" w:color="auto"/>
            </w:tcBorders>
          </w:tcPr>
          <w:p w:rsidR="006A1CDC" w:rsidRPr="00286E49" w:rsidRDefault="006A1CDC" w:rsidP="009C02E4"/>
        </w:tc>
        <w:tc>
          <w:tcPr>
            <w:tcW w:w="3637" w:type="dxa"/>
            <w:vMerge/>
            <w:tcBorders>
              <w:top w:val="single" w:sz="4" w:space="0" w:color="000000"/>
              <w:left w:val="single" w:sz="4" w:space="0" w:color="000000"/>
              <w:bottom w:val="single" w:sz="4" w:space="0" w:color="auto"/>
            </w:tcBorders>
          </w:tcPr>
          <w:p w:rsidR="006A1CDC" w:rsidRPr="00286E49" w:rsidRDefault="006A1CDC" w:rsidP="009C02E4"/>
        </w:tc>
        <w:tc>
          <w:tcPr>
            <w:tcW w:w="3091" w:type="dxa"/>
            <w:tcBorders>
              <w:top w:val="single" w:sz="4" w:space="0" w:color="auto"/>
              <w:left w:val="single" w:sz="4" w:space="0" w:color="000000"/>
              <w:bottom w:val="single" w:sz="4" w:space="0" w:color="auto"/>
            </w:tcBorders>
          </w:tcPr>
          <w:p w:rsidR="006A1CDC" w:rsidRPr="00286E49" w:rsidRDefault="006A1CDC" w:rsidP="009C02E4">
            <w:r w:rsidRPr="00286E49">
              <w:t>Autobus, w którym konieczne jest w trakcie eksploatacji, w ramach czynności obsługowych lub uwarunkowań gwarancyjnych, okresowe kontrolowanie i odnawianie zabezpieczenia antykorozyjnego profili zamkniętych i przestrzeni wewnętrznych nadwozia / podwozia</w:t>
            </w:r>
          </w:p>
        </w:tc>
        <w:tc>
          <w:tcPr>
            <w:tcW w:w="994" w:type="dxa"/>
            <w:gridSpan w:val="2"/>
            <w:tcBorders>
              <w:top w:val="single" w:sz="4" w:space="0" w:color="auto"/>
              <w:left w:val="single" w:sz="4" w:space="0" w:color="000000"/>
              <w:bottom w:val="single" w:sz="4" w:space="0" w:color="auto"/>
              <w:right w:val="single" w:sz="4" w:space="0" w:color="000000"/>
            </w:tcBorders>
          </w:tcPr>
          <w:p w:rsidR="006A1CDC" w:rsidRPr="00286E49" w:rsidRDefault="006A1CDC" w:rsidP="009C02E4">
            <w:r w:rsidRPr="00286E49">
              <w:t>0 pkt</w:t>
            </w:r>
          </w:p>
        </w:tc>
      </w:tr>
      <w:tr w:rsidR="006A1CDC" w:rsidRPr="00286E49">
        <w:trPr>
          <w:trHeight w:val="284"/>
        </w:trPr>
        <w:tc>
          <w:tcPr>
            <w:tcW w:w="9863" w:type="dxa"/>
            <w:gridSpan w:val="5"/>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129"/>
        </w:trPr>
        <w:tc>
          <w:tcPr>
            <w:tcW w:w="2141"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p w:rsidR="006A1CDC" w:rsidRPr="00286E49" w:rsidRDefault="006A1CDC" w:rsidP="009C02E4">
            <w:r w:rsidRPr="00286E49">
              <w:t>Podkryterium 2 (T2)</w:t>
            </w:r>
          </w:p>
        </w:tc>
        <w:tc>
          <w:tcPr>
            <w:tcW w:w="3637" w:type="dxa"/>
            <w:vMerge w:val="restart"/>
            <w:tcBorders>
              <w:top w:val="single" w:sz="4" w:space="0" w:color="000000"/>
              <w:left w:val="single" w:sz="4" w:space="0" w:color="000000"/>
              <w:bottom w:val="single" w:sz="4" w:space="0" w:color="000000"/>
            </w:tcBorders>
          </w:tcPr>
          <w:p w:rsidR="006A1CDC" w:rsidRPr="00286E49" w:rsidRDefault="006A1CDC" w:rsidP="009C02E4"/>
          <w:p w:rsidR="006A1CDC" w:rsidRPr="00286E49" w:rsidRDefault="006A1CDC" w:rsidP="009C02E4">
            <w:r w:rsidRPr="00286E49">
              <w:t>Zużycie paliwa:</w:t>
            </w:r>
          </w:p>
          <w:p w:rsidR="006A1CDC" w:rsidRPr="00286E49" w:rsidRDefault="006A1CDC" w:rsidP="009C02E4"/>
          <w:p w:rsidR="006A1CDC" w:rsidRPr="00286E49" w:rsidRDefault="006A1CDC" w:rsidP="009C02E4">
            <w:r w:rsidRPr="00286E49">
              <w:t>Autobusy muszą spełniać warunki maksymalnego zużycia oleju napędowego na podstawie testu SORT-2 nie większego niż 30 litrów/100 km.</w:t>
            </w:r>
          </w:p>
        </w:tc>
        <w:tc>
          <w:tcPr>
            <w:tcW w:w="4085"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129"/>
        </w:trPr>
        <w:tc>
          <w:tcPr>
            <w:tcW w:w="2141" w:type="dxa"/>
            <w:vMerge/>
            <w:tcBorders>
              <w:top w:val="single" w:sz="4" w:space="0" w:color="000000"/>
              <w:left w:val="single" w:sz="4" w:space="0" w:color="000000"/>
              <w:bottom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091" w:type="dxa"/>
            <w:tcBorders>
              <w:top w:val="single" w:sz="4" w:space="0" w:color="000000"/>
              <w:left w:val="single" w:sz="4" w:space="0" w:color="000000"/>
              <w:bottom w:val="single" w:sz="4" w:space="0" w:color="000000"/>
            </w:tcBorders>
          </w:tcPr>
          <w:p w:rsidR="006A1CDC" w:rsidRPr="00286E49" w:rsidRDefault="006A1CDC" w:rsidP="00FF30AE">
            <w:r w:rsidRPr="00286E49">
              <w:t>Spalanie w wysokości poniżej 26  l/100 km</w:t>
            </w:r>
          </w:p>
        </w:tc>
        <w:tc>
          <w:tcPr>
            <w:tcW w:w="994"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FF30AE">
            <w:r w:rsidRPr="00286E49">
              <w:t>7 pkt</w:t>
            </w:r>
          </w:p>
        </w:tc>
      </w:tr>
      <w:tr w:rsidR="006A1CDC" w:rsidRPr="00286E49">
        <w:trPr>
          <w:trHeight w:val="129"/>
        </w:trPr>
        <w:tc>
          <w:tcPr>
            <w:tcW w:w="2141" w:type="dxa"/>
            <w:vMerge/>
            <w:tcBorders>
              <w:top w:val="single" w:sz="4" w:space="0" w:color="000000"/>
              <w:left w:val="single" w:sz="4" w:space="0" w:color="000000"/>
              <w:bottom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091" w:type="dxa"/>
            <w:tcBorders>
              <w:top w:val="single" w:sz="4" w:space="0" w:color="000000"/>
              <w:left w:val="single" w:sz="4" w:space="0" w:color="000000"/>
              <w:bottom w:val="single" w:sz="4" w:space="0" w:color="000000"/>
            </w:tcBorders>
          </w:tcPr>
          <w:p w:rsidR="006A1CDC" w:rsidRPr="00286E49" w:rsidRDefault="006A1CDC" w:rsidP="009C02E4">
            <w:r w:rsidRPr="00286E49">
              <w:t>Spalanie w wysokości poniżej 27,5  l/100 km</w:t>
            </w:r>
          </w:p>
        </w:tc>
        <w:tc>
          <w:tcPr>
            <w:tcW w:w="994"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6,5 pkt</w:t>
            </w:r>
          </w:p>
        </w:tc>
      </w:tr>
      <w:tr w:rsidR="006A1CDC" w:rsidRPr="00286E49">
        <w:trPr>
          <w:trHeight w:val="129"/>
        </w:trPr>
        <w:tc>
          <w:tcPr>
            <w:tcW w:w="2141" w:type="dxa"/>
            <w:vMerge/>
            <w:tcBorders>
              <w:top w:val="single" w:sz="4" w:space="0" w:color="000000"/>
              <w:left w:val="single" w:sz="4" w:space="0" w:color="000000"/>
              <w:bottom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091" w:type="dxa"/>
            <w:tcBorders>
              <w:top w:val="single" w:sz="4" w:space="0" w:color="000000"/>
              <w:left w:val="single" w:sz="4" w:space="0" w:color="000000"/>
              <w:bottom w:val="single" w:sz="4" w:space="0" w:color="000000"/>
            </w:tcBorders>
          </w:tcPr>
          <w:p w:rsidR="006A1CDC" w:rsidRPr="00286E49" w:rsidRDefault="006A1CDC" w:rsidP="009C02E4">
            <w:r w:rsidRPr="00286E49">
              <w:t>Spalanie w wysokości poniżej 29,5  l/100 km</w:t>
            </w:r>
          </w:p>
        </w:tc>
        <w:tc>
          <w:tcPr>
            <w:tcW w:w="994"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6 pkt</w:t>
            </w:r>
          </w:p>
        </w:tc>
      </w:tr>
      <w:tr w:rsidR="006A1CDC" w:rsidRPr="00286E49">
        <w:trPr>
          <w:trHeight w:val="129"/>
        </w:trPr>
        <w:tc>
          <w:tcPr>
            <w:tcW w:w="2141" w:type="dxa"/>
            <w:vMerge/>
            <w:tcBorders>
              <w:top w:val="single" w:sz="4" w:space="0" w:color="000000"/>
              <w:left w:val="single" w:sz="4" w:space="0" w:color="000000"/>
              <w:bottom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091" w:type="dxa"/>
            <w:tcBorders>
              <w:top w:val="single" w:sz="4" w:space="0" w:color="000000"/>
              <w:left w:val="single" w:sz="4" w:space="0" w:color="000000"/>
              <w:bottom w:val="single" w:sz="4" w:space="0" w:color="000000"/>
            </w:tcBorders>
          </w:tcPr>
          <w:p w:rsidR="006A1CDC" w:rsidRPr="00286E49" w:rsidRDefault="006A1CDC" w:rsidP="009C02E4">
            <w:r w:rsidRPr="00286E49">
              <w:t>Spalanie w wysokości powyżej 29,5  l/100 km lecz nie więcej niż 30 l/100km</w:t>
            </w:r>
          </w:p>
        </w:tc>
        <w:tc>
          <w:tcPr>
            <w:tcW w:w="994"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9863" w:type="dxa"/>
            <w:gridSpan w:val="5"/>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130"/>
        </w:trPr>
        <w:tc>
          <w:tcPr>
            <w:tcW w:w="2141"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3 (T3)</w:t>
            </w:r>
          </w:p>
        </w:tc>
        <w:tc>
          <w:tcPr>
            <w:tcW w:w="3637" w:type="dxa"/>
            <w:vMerge w:val="restart"/>
            <w:tcBorders>
              <w:top w:val="single" w:sz="4" w:space="0" w:color="000000"/>
              <w:left w:val="single" w:sz="4" w:space="0" w:color="000000"/>
              <w:bottom w:val="single" w:sz="4" w:space="0" w:color="000000"/>
            </w:tcBorders>
          </w:tcPr>
          <w:p w:rsidR="006A1CDC" w:rsidRPr="00286E49" w:rsidRDefault="006A1CDC" w:rsidP="009C02E4"/>
          <w:p w:rsidR="006A1CDC" w:rsidRPr="00286E49" w:rsidRDefault="006A1CDC" w:rsidP="009C02E4">
            <w:r w:rsidRPr="00286E49">
              <w:t>Oświetlenie LED.</w:t>
            </w:r>
          </w:p>
          <w:p w:rsidR="006A1CDC" w:rsidRPr="00286E49" w:rsidRDefault="006A1CDC" w:rsidP="009C02E4"/>
        </w:tc>
        <w:tc>
          <w:tcPr>
            <w:tcW w:w="4085"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129"/>
        </w:trPr>
        <w:tc>
          <w:tcPr>
            <w:tcW w:w="2141" w:type="dxa"/>
            <w:vMerge/>
            <w:tcBorders>
              <w:top w:val="single" w:sz="4" w:space="0" w:color="000000"/>
              <w:left w:val="single" w:sz="4" w:space="0" w:color="000000"/>
              <w:bottom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000000"/>
            </w:tcBorders>
          </w:tcPr>
          <w:p w:rsidR="006A1CDC" w:rsidRPr="00286E49" w:rsidRDefault="006A1CDC" w:rsidP="009C02E4">
            <w:r w:rsidRPr="00286E49">
              <w:t>Autobus w 100% z oświetleniem w technologii LED</w:t>
            </w:r>
          </w:p>
        </w:tc>
        <w:tc>
          <w:tcPr>
            <w:tcW w:w="96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5 pkt</w:t>
            </w:r>
          </w:p>
        </w:tc>
      </w:tr>
      <w:tr w:rsidR="006A1CDC" w:rsidRPr="00286E49">
        <w:trPr>
          <w:trHeight w:val="129"/>
        </w:trPr>
        <w:tc>
          <w:tcPr>
            <w:tcW w:w="2141" w:type="dxa"/>
            <w:vMerge/>
            <w:tcBorders>
              <w:top w:val="single" w:sz="4" w:space="0" w:color="000000"/>
              <w:left w:val="single" w:sz="4" w:space="0" w:color="000000"/>
              <w:bottom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000000"/>
            </w:tcBorders>
          </w:tcPr>
          <w:p w:rsidR="006A1CDC" w:rsidRPr="00286E49" w:rsidRDefault="006A1CDC" w:rsidP="009C02E4">
            <w:r w:rsidRPr="00286E49">
              <w:t>Wykonane w systemie mieszanym (LED plus inne)</w:t>
            </w:r>
          </w:p>
        </w:tc>
        <w:tc>
          <w:tcPr>
            <w:tcW w:w="96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4,5 pkt</w:t>
            </w:r>
          </w:p>
        </w:tc>
      </w:tr>
      <w:tr w:rsidR="006A1CDC" w:rsidRPr="00286E49">
        <w:trPr>
          <w:trHeight w:val="129"/>
        </w:trPr>
        <w:tc>
          <w:tcPr>
            <w:tcW w:w="2141" w:type="dxa"/>
            <w:vMerge/>
            <w:tcBorders>
              <w:top w:val="single" w:sz="4" w:space="0" w:color="000000"/>
              <w:left w:val="single" w:sz="4" w:space="0" w:color="000000"/>
              <w:bottom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000000"/>
            </w:tcBorders>
          </w:tcPr>
          <w:p w:rsidR="006A1CDC" w:rsidRPr="00286E49" w:rsidRDefault="006A1CDC" w:rsidP="009C02E4">
            <w:r w:rsidRPr="00286E49">
              <w:t>Wykonane bez użycia systemu LED</w:t>
            </w:r>
          </w:p>
        </w:tc>
        <w:tc>
          <w:tcPr>
            <w:tcW w:w="96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9863" w:type="dxa"/>
            <w:gridSpan w:val="5"/>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277"/>
        </w:trPr>
        <w:tc>
          <w:tcPr>
            <w:tcW w:w="2141" w:type="dxa"/>
            <w:vMerge w:val="restart"/>
            <w:tcBorders>
              <w:top w:val="single" w:sz="4" w:space="0" w:color="000000"/>
              <w:left w:val="single" w:sz="4" w:space="0" w:color="000000"/>
            </w:tcBorders>
            <w:vAlign w:val="center"/>
          </w:tcPr>
          <w:p w:rsidR="006A1CDC" w:rsidRPr="00286E49" w:rsidRDefault="006A1CDC" w:rsidP="009C02E4">
            <w:r w:rsidRPr="00286E49">
              <w:t>Podkryterium 4 (T4)</w:t>
            </w:r>
          </w:p>
        </w:tc>
        <w:tc>
          <w:tcPr>
            <w:tcW w:w="3637" w:type="dxa"/>
            <w:vMerge w:val="restart"/>
            <w:tcBorders>
              <w:top w:val="single" w:sz="4" w:space="0" w:color="000000"/>
              <w:left w:val="single" w:sz="4" w:space="0" w:color="000000"/>
            </w:tcBorders>
            <w:vAlign w:val="center"/>
          </w:tcPr>
          <w:p w:rsidR="006A1CDC" w:rsidRPr="00286E49" w:rsidRDefault="006A1CDC" w:rsidP="009C02E4">
            <w:r w:rsidRPr="00286E49">
              <w:t xml:space="preserve">System magazynowania energii elektrycznej. </w:t>
            </w:r>
          </w:p>
          <w:p w:rsidR="006A1CDC" w:rsidRPr="00286E49" w:rsidRDefault="006A1CDC" w:rsidP="009C02E4"/>
        </w:tc>
        <w:tc>
          <w:tcPr>
            <w:tcW w:w="4085"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276"/>
        </w:trPr>
        <w:tc>
          <w:tcPr>
            <w:tcW w:w="2141" w:type="dxa"/>
            <w:vMerge/>
            <w:tcBorders>
              <w:left w:val="single" w:sz="4" w:space="0" w:color="000000"/>
            </w:tcBorders>
          </w:tcPr>
          <w:p w:rsidR="006A1CDC" w:rsidRPr="00286E49" w:rsidRDefault="006A1CDC" w:rsidP="009C02E4"/>
        </w:tc>
        <w:tc>
          <w:tcPr>
            <w:tcW w:w="3637" w:type="dxa"/>
            <w:vMerge/>
            <w:tcBorders>
              <w:left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000000"/>
            </w:tcBorders>
          </w:tcPr>
          <w:p w:rsidR="006A1CDC" w:rsidRPr="00286E49" w:rsidRDefault="006A1CDC" w:rsidP="009C02E4">
            <w:r w:rsidRPr="00286E49">
              <w:t>Superkondensatory</w:t>
            </w:r>
          </w:p>
        </w:tc>
        <w:tc>
          <w:tcPr>
            <w:tcW w:w="96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5 pkt</w:t>
            </w:r>
          </w:p>
        </w:tc>
      </w:tr>
      <w:tr w:rsidR="006A1CDC" w:rsidRPr="00286E49">
        <w:trPr>
          <w:trHeight w:val="276"/>
        </w:trPr>
        <w:tc>
          <w:tcPr>
            <w:tcW w:w="2141" w:type="dxa"/>
            <w:vMerge/>
            <w:tcBorders>
              <w:left w:val="single" w:sz="4" w:space="0" w:color="000000"/>
            </w:tcBorders>
          </w:tcPr>
          <w:p w:rsidR="006A1CDC" w:rsidRPr="00286E49" w:rsidRDefault="006A1CDC" w:rsidP="009C02E4"/>
        </w:tc>
        <w:tc>
          <w:tcPr>
            <w:tcW w:w="3637" w:type="dxa"/>
            <w:vMerge/>
            <w:tcBorders>
              <w:left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000000"/>
            </w:tcBorders>
          </w:tcPr>
          <w:p w:rsidR="006A1CDC" w:rsidRPr="00286E49" w:rsidRDefault="006A1CDC" w:rsidP="009C02E4">
            <w:r w:rsidRPr="00286E49">
              <w:t>Akumulatory</w:t>
            </w:r>
          </w:p>
        </w:tc>
        <w:tc>
          <w:tcPr>
            <w:tcW w:w="96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4,5 pkt</w:t>
            </w:r>
          </w:p>
        </w:tc>
      </w:tr>
      <w:tr w:rsidR="006A1CDC" w:rsidRPr="00286E49">
        <w:trPr>
          <w:trHeight w:val="276"/>
        </w:trPr>
        <w:tc>
          <w:tcPr>
            <w:tcW w:w="2141" w:type="dxa"/>
            <w:vMerge/>
            <w:tcBorders>
              <w:left w:val="single" w:sz="4" w:space="0" w:color="000000"/>
              <w:bottom w:val="single" w:sz="4" w:space="0" w:color="000000"/>
            </w:tcBorders>
          </w:tcPr>
          <w:p w:rsidR="006A1CDC" w:rsidRPr="00286E49" w:rsidRDefault="006A1CDC" w:rsidP="009C02E4"/>
        </w:tc>
        <w:tc>
          <w:tcPr>
            <w:tcW w:w="3637" w:type="dxa"/>
            <w:vMerge/>
            <w:tcBorders>
              <w:left w:val="single" w:sz="4" w:space="0" w:color="000000"/>
              <w:bottom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000000"/>
            </w:tcBorders>
          </w:tcPr>
          <w:p w:rsidR="006A1CDC" w:rsidRPr="00286E49" w:rsidRDefault="006A1CDC" w:rsidP="009C02E4">
            <w:r w:rsidRPr="00286E49">
              <w:t>Inne rozwiązania</w:t>
            </w:r>
          </w:p>
        </w:tc>
        <w:tc>
          <w:tcPr>
            <w:tcW w:w="96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9863" w:type="dxa"/>
            <w:gridSpan w:val="5"/>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399"/>
        </w:trPr>
        <w:tc>
          <w:tcPr>
            <w:tcW w:w="2141" w:type="dxa"/>
            <w:vMerge w:val="restart"/>
            <w:tcBorders>
              <w:top w:val="single" w:sz="4" w:space="0" w:color="000000"/>
              <w:left w:val="single" w:sz="4" w:space="0" w:color="000000"/>
            </w:tcBorders>
            <w:vAlign w:val="center"/>
          </w:tcPr>
          <w:p w:rsidR="006A1CDC" w:rsidRPr="00286E49" w:rsidRDefault="006A1CDC" w:rsidP="009C02E4">
            <w:r w:rsidRPr="00286E49">
              <w:t>Podkryterium 5 (T5)</w:t>
            </w:r>
          </w:p>
        </w:tc>
        <w:tc>
          <w:tcPr>
            <w:tcW w:w="3637" w:type="dxa"/>
            <w:vMerge w:val="restart"/>
            <w:tcBorders>
              <w:top w:val="single" w:sz="4" w:space="0" w:color="000000"/>
              <w:left w:val="single" w:sz="4" w:space="0" w:color="000000"/>
            </w:tcBorders>
            <w:vAlign w:val="center"/>
          </w:tcPr>
          <w:p w:rsidR="006A1CDC" w:rsidRPr="00286E49" w:rsidRDefault="006A1CDC" w:rsidP="009C02E4">
            <w:r w:rsidRPr="00286E49">
              <w:t>Realizacja napędu hybrydowego.</w:t>
            </w:r>
          </w:p>
        </w:tc>
        <w:tc>
          <w:tcPr>
            <w:tcW w:w="4085"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285"/>
        </w:trPr>
        <w:tc>
          <w:tcPr>
            <w:tcW w:w="2141" w:type="dxa"/>
            <w:vMerge/>
            <w:tcBorders>
              <w:left w:val="single" w:sz="4" w:space="0" w:color="000000"/>
            </w:tcBorders>
          </w:tcPr>
          <w:p w:rsidR="006A1CDC" w:rsidRPr="00286E49" w:rsidRDefault="006A1CDC" w:rsidP="009C02E4"/>
        </w:tc>
        <w:tc>
          <w:tcPr>
            <w:tcW w:w="3637" w:type="dxa"/>
            <w:vMerge/>
            <w:tcBorders>
              <w:left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000000"/>
            </w:tcBorders>
          </w:tcPr>
          <w:p w:rsidR="006A1CDC" w:rsidRPr="00286E49" w:rsidRDefault="006A1CDC" w:rsidP="009C02E4">
            <w:r w:rsidRPr="00286E49">
              <w:t xml:space="preserve">Szeregowy </w:t>
            </w:r>
          </w:p>
        </w:tc>
        <w:tc>
          <w:tcPr>
            <w:tcW w:w="96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5 pkt</w:t>
            </w:r>
          </w:p>
        </w:tc>
      </w:tr>
      <w:tr w:rsidR="006A1CDC" w:rsidRPr="00286E49">
        <w:trPr>
          <w:trHeight w:val="340"/>
        </w:trPr>
        <w:tc>
          <w:tcPr>
            <w:tcW w:w="2141" w:type="dxa"/>
            <w:vMerge/>
            <w:tcBorders>
              <w:left w:val="single" w:sz="4" w:space="0" w:color="000000"/>
            </w:tcBorders>
          </w:tcPr>
          <w:p w:rsidR="006A1CDC" w:rsidRPr="00286E49" w:rsidRDefault="006A1CDC" w:rsidP="009C02E4"/>
        </w:tc>
        <w:tc>
          <w:tcPr>
            <w:tcW w:w="3637" w:type="dxa"/>
            <w:vMerge/>
            <w:tcBorders>
              <w:left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auto"/>
            </w:tcBorders>
          </w:tcPr>
          <w:p w:rsidR="006A1CDC" w:rsidRPr="00286E49" w:rsidRDefault="006A1CDC" w:rsidP="009C02E4">
            <w:r w:rsidRPr="00286E49">
              <w:t>Szeregowo-równoległy</w:t>
            </w:r>
          </w:p>
        </w:tc>
        <w:tc>
          <w:tcPr>
            <w:tcW w:w="966" w:type="dxa"/>
            <w:tcBorders>
              <w:top w:val="single" w:sz="4" w:space="0" w:color="000000"/>
              <w:left w:val="single" w:sz="4" w:space="0" w:color="000000"/>
              <w:bottom w:val="single" w:sz="4" w:space="0" w:color="auto"/>
              <w:right w:val="single" w:sz="4" w:space="0" w:color="000000"/>
            </w:tcBorders>
          </w:tcPr>
          <w:p w:rsidR="006A1CDC" w:rsidRPr="00286E49" w:rsidRDefault="006A1CDC" w:rsidP="009C02E4">
            <w:r w:rsidRPr="00286E49">
              <w:t>4,5 pkt</w:t>
            </w:r>
          </w:p>
        </w:tc>
      </w:tr>
      <w:tr w:rsidR="006A1CDC" w:rsidRPr="00286E49">
        <w:trPr>
          <w:trHeight w:val="336"/>
        </w:trPr>
        <w:tc>
          <w:tcPr>
            <w:tcW w:w="2141" w:type="dxa"/>
            <w:vMerge/>
            <w:tcBorders>
              <w:left w:val="single" w:sz="4" w:space="0" w:color="000000"/>
              <w:bottom w:val="single" w:sz="4" w:space="0" w:color="000000"/>
            </w:tcBorders>
          </w:tcPr>
          <w:p w:rsidR="006A1CDC" w:rsidRPr="00286E49" w:rsidRDefault="006A1CDC" w:rsidP="009C02E4"/>
        </w:tc>
        <w:tc>
          <w:tcPr>
            <w:tcW w:w="3637" w:type="dxa"/>
            <w:vMerge/>
            <w:tcBorders>
              <w:left w:val="single" w:sz="4" w:space="0" w:color="000000"/>
              <w:bottom w:val="single" w:sz="4" w:space="0" w:color="000000"/>
            </w:tcBorders>
          </w:tcPr>
          <w:p w:rsidR="006A1CDC" w:rsidRPr="00286E49" w:rsidRDefault="006A1CDC" w:rsidP="009C02E4"/>
        </w:tc>
        <w:tc>
          <w:tcPr>
            <w:tcW w:w="3119" w:type="dxa"/>
            <w:gridSpan w:val="2"/>
            <w:tcBorders>
              <w:top w:val="single" w:sz="4" w:space="0" w:color="auto"/>
              <w:left w:val="single" w:sz="4" w:space="0" w:color="000000"/>
              <w:bottom w:val="single" w:sz="4" w:space="0" w:color="000000"/>
            </w:tcBorders>
          </w:tcPr>
          <w:p w:rsidR="006A1CDC" w:rsidRPr="00286E49" w:rsidRDefault="006A1CDC" w:rsidP="009C02E4">
            <w:r w:rsidRPr="00286E49">
              <w:t>Równoległy</w:t>
            </w:r>
          </w:p>
        </w:tc>
        <w:tc>
          <w:tcPr>
            <w:tcW w:w="966" w:type="dxa"/>
            <w:tcBorders>
              <w:top w:val="single" w:sz="4" w:space="0" w:color="auto"/>
              <w:left w:val="single" w:sz="4" w:space="0" w:color="000000"/>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9863" w:type="dxa"/>
            <w:gridSpan w:val="5"/>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281"/>
        </w:trPr>
        <w:tc>
          <w:tcPr>
            <w:tcW w:w="2141"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6 (T6)</w:t>
            </w:r>
          </w:p>
        </w:tc>
        <w:tc>
          <w:tcPr>
            <w:tcW w:w="3637"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Realizacja napędu – skrzynia biegów.</w:t>
            </w:r>
          </w:p>
          <w:p w:rsidR="006A1CDC" w:rsidRPr="00286E49" w:rsidRDefault="006A1CDC" w:rsidP="009C02E4"/>
        </w:tc>
        <w:tc>
          <w:tcPr>
            <w:tcW w:w="4085"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343"/>
        </w:trPr>
        <w:tc>
          <w:tcPr>
            <w:tcW w:w="2141" w:type="dxa"/>
            <w:vMerge/>
            <w:tcBorders>
              <w:top w:val="single" w:sz="4" w:space="0" w:color="000000"/>
              <w:left w:val="single" w:sz="4" w:space="0" w:color="000000"/>
              <w:bottom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000000"/>
            </w:tcBorders>
          </w:tcPr>
          <w:p w:rsidR="006A1CDC" w:rsidRPr="00286E49" w:rsidRDefault="006A1CDC" w:rsidP="009C02E4">
            <w:r w:rsidRPr="00286E49">
              <w:t>Napęd realizowany bez zastosowania skrzyni biegów</w:t>
            </w:r>
          </w:p>
        </w:tc>
        <w:tc>
          <w:tcPr>
            <w:tcW w:w="96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5 pkt</w:t>
            </w:r>
          </w:p>
        </w:tc>
      </w:tr>
      <w:tr w:rsidR="006A1CDC" w:rsidRPr="00286E49">
        <w:trPr>
          <w:trHeight w:val="263"/>
        </w:trPr>
        <w:tc>
          <w:tcPr>
            <w:tcW w:w="2141" w:type="dxa"/>
            <w:vMerge/>
            <w:tcBorders>
              <w:top w:val="single" w:sz="4" w:space="0" w:color="000000"/>
              <w:left w:val="single" w:sz="4" w:space="0" w:color="000000"/>
              <w:bottom w:val="single" w:sz="4" w:space="0" w:color="000000"/>
            </w:tcBorders>
          </w:tcPr>
          <w:p w:rsidR="006A1CDC" w:rsidRPr="00286E49" w:rsidRDefault="006A1CDC" w:rsidP="009C02E4"/>
        </w:tc>
        <w:tc>
          <w:tcPr>
            <w:tcW w:w="3637" w:type="dxa"/>
            <w:vMerge/>
            <w:tcBorders>
              <w:top w:val="single" w:sz="4" w:space="0" w:color="000000"/>
              <w:left w:val="single" w:sz="4" w:space="0" w:color="000000"/>
              <w:bottom w:val="single" w:sz="4" w:space="0" w:color="000000"/>
            </w:tcBorders>
          </w:tcPr>
          <w:p w:rsidR="006A1CDC" w:rsidRPr="00286E49" w:rsidRDefault="006A1CDC" w:rsidP="009C02E4"/>
        </w:tc>
        <w:tc>
          <w:tcPr>
            <w:tcW w:w="3119" w:type="dxa"/>
            <w:gridSpan w:val="2"/>
            <w:tcBorders>
              <w:top w:val="single" w:sz="4" w:space="0" w:color="000000"/>
              <w:left w:val="single" w:sz="4" w:space="0" w:color="000000"/>
              <w:bottom w:val="single" w:sz="4" w:space="0" w:color="000000"/>
            </w:tcBorders>
          </w:tcPr>
          <w:p w:rsidR="006A1CDC" w:rsidRPr="00286E49" w:rsidRDefault="006A1CDC" w:rsidP="009C02E4">
            <w:r w:rsidRPr="00286E49">
              <w:t>Napęd realizowany z zastosowaniem skrzyni biegów</w:t>
            </w:r>
          </w:p>
        </w:tc>
        <w:tc>
          <w:tcPr>
            <w:tcW w:w="966"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p w:rsidR="006A1CDC" w:rsidRPr="00286E49" w:rsidRDefault="006A1CDC" w:rsidP="009C02E4">
            <w:r w:rsidRPr="00286E49">
              <w:t>0 pkt</w:t>
            </w:r>
          </w:p>
        </w:tc>
      </w:tr>
      <w:tr w:rsidR="006A1CDC" w:rsidRPr="00286E49">
        <w:trPr>
          <w:trHeight w:val="284"/>
        </w:trPr>
        <w:tc>
          <w:tcPr>
            <w:tcW w:w="9863" w:type="dxa"/>
            <w:gridSpan w:val="5"/>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bl>
    <w:p w:rsidR="006A1CDC" w:rsidRPr="00286E49" w:rsidRDefault="006A1CDC" w:rsidP="009C02E4"/>
    <w:p w:rsidR="006A1CDC" w:rsidRPr="00286E49" w:rsidRDefault="006A1CDC" w:rsidP="009C02E4"/>
    <w:p w:rsidR="006A1CDC" w:rsidRPr="00286E49" w:rsidRDefault="006A1CDC" w:rsidP="009C02E4"/>
    <w:tbl>
      <w:tblPr>
        <w:tblW w:w="9863" w:type="dxa"/>
        <w:tblInd w:w="2" w:type="dxa"/>
        <w:tblLayout w:type="fixed"/>
        <w:tblLook w:val="0000"/>
      </w:tblPr>
      <w:tblGrid>
        <w:gridCol w:w="2092"/>
        <w:gridCol w:w="4820"/>
        <w:gridCol w:w="1984"/>
        <w:gridCol w:w="967"/>
      </w:tblGrid>
      <w:tr w:rsidR="006A1CDC" w:rsidRPr="00286E49">
        <w:trPr>
          <w:trHeight w:val="384"/>
        </w:trPr>
        <w:tc>
          <w:tcPr>
            <w:tcW w:w="9863" w:type="dxa"/>
            <w:gridSpan w:val="4"/>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W zakresie kryterium „Gwarancja”</w:t>
            </w:r>
          </w:p>
        </w:tc>
      </w:tr>
      <w:tr w:rsidR="006A1CDC" w:rsidRPr="00286E49">
        <w:trPr>
          <w:trHeight w:val="211"/>
        </w:trPr>
        <w:tc>
          <w:tcPr>
            <w:tcW w:w="2092"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1 (G1)</w:t>
            </w:r>
          </w:p>
        </w:tc>
        <w:tc>
          <w:tcPr>
            <w:tcW w:w="4820" w:type="dxa"/>
            <w:vMerge w:val="restart"/>
            <w:tcBorders>
              <w:top w:val="single" w:sz="4" w:space="0" w:color="000000"/>
              <w:left w:val="single" w:sz="4" w:space="0" w:color="000000"/>
              <w:bottom w:val="single" w:sz="4" w:space="0" w:color="000000"/>
            </w:tcBorders>
          </w:tcPr>
          <w:p w:rsidR="006A1CDC" w:rsidRPr="00286E49" w:rsidRDefault="006A1CDC" w:rsidP="009C02E4">
            <w:r w:rsidRPr="00286E49">
              <w:t>Gwarancja na szkielet kratownicy nadwozia oraz kratownicę/ramę podwozia, trwałość konstrukcji nośnej, perforację nadwozia.</w:t>
            </w:r>
          </w:p>
          <w:p w:rsidR="006A1CDC" w:rsidRPr="00286E49" w:rsidRDefault="006A1CDC" w:rsidP="009C02E4">
            <w:r w:rsidRPr="00286E49">
              <w:t>UWAGI !</w:t>
            </w:r>
          </w:p>
          <w:p w:rsidR="006A1CDC" w:rsidRPr="00286E49" w:rsidRDefault="006A1CDC" w:rsidP="009C02E4">
            <w:r w:rsidRPr="00286E49">
              <w:t>- Okres gwarancji nie jest uzależniony od przebiegu kilometrów.</w:t>
            </w:r>
          </w:p>
          <w:p w:rsidR="006A1CDC" w:rsidRPr="00286E49" w:rsidRDefault="006A1CDC" w:rsidP="009C02E4">
            <w:r w:rsidRPr="00286E49">
              <w:t>- Zamawiający ustala, że maksymalny okres gwarancji oceniany w tym kryterium wynosi 12 lat.</w:t>
            </w:r>
          </w:p>
          <w:p w:rsidR="006A1CDC" w:rsidRPr="00286E49" w:rsidRDefault="006A1CDC" w:rsidP="009C02E4">
            <w:r w:rsidRPr="00286E49">
              <w:t>- Zamawiający ustala, że minimalny okres gwarancji  w tym kryterium nie może być mniejszy niż okres 10 lat.</w:t>
            </w:r>
          </w:p>
          <w:p w:rsidR="006A1CDC" w:rsidRPr="00286E49" w:rsidRDefault="006A1CDC" w:rsidP="009C02E4">
            <w:r w:rsidRPr="00286E49">
              <w:t>Jeżeli wykonawca wybierze w Podkryterium 1 (T1) 12-to letni okres zabezpieczenia antykorozyjnego musi udzielić 12-to letniej gwarancji.</w:t>
            </w:r>
          </w:p>
        </w:tc>
        <w:tc>
          <w:tcPr>
            <w:tcW w:w="2951"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p w:rsidR="006A1CDC" w:rsidRPr="00286E49" w:rsidRDefault="006A1CDC" w:rsidP="009C02E4"/>
        </w:tc>
      </w:tr>
      <w:tr w:rsidR="006A1CDC" w:rsidRPr="00286E49">
        <w:trPr>
          <w:trHeight w:val="250"/>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4820" w:type="dxa"/>
            <w:vMerge/>
            <w:tcBorders>
              <w:top w:val="single" w:sz="4" w:space="0" w:color="000000"/>
              <w:left w:val="single" w:sz="4" w:space="0" w:color="000000"/>
              <w:bottom w:val="single" w:sz="4" w:space="0" w:color="000000"/>
            </w:tcBorders>
          </w:tcPr>
          <w:p w:rsidR="006A1CDC" w:rsidRPr="00286E49" w:rsidRDefault="006A1CDC" w:rsidP="009C02E4"/>
        </w:tc>
        <w:tc>
          <w:tcPr>
            <w:tcW w:w="1984" w:type="dxa"/>
            <w:tcBorders>
              <w:top w:val="single" w:sz="4" w:space="0" w:color="000000"/>
              <w:left w:val="single" w:sz="4" w:space="0" w:color="000000"/>
              <w:bottom w:val="single" w:sz="4" w:space="0" w:color="000000"/>
            </w:tcBorders>
          </w:tcPr>
          <w:p w:rsidR="006A1CDC" w:rsidRPr="00286E49" w:rsidRDefault="006A1CDC" w:rsidP="009C02E4">
            <w:r w:rsidRPr="00286E49">
              <w:t>12 lat</w:t>
            </w:r>
          </w:p>
        </w:tc>
        <w:tc>
          <w:tcPr>
            <w:tcW w:w="967"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3 pkt</w:t>
            </w:r>
          </w:p>
        </w:tc>
      </w:tr>
      <w:tr w:rsidR="006A1CDC" w:rsidRPr="00286E49">
        <w:trPr>
          <w:trHeight w:val="248"/>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4820" w:type="dxa"/>
            <w:vMerge/>
            <w:tcBorders>
              <w:top w:val="single" w:sz="4" w:space="0" w:color="000000"/>
              <w:left w:val="single" w:sz="4" w:space="0" w:color="000000"/>
              <w:bottom w:val="single" w:sz="4" w:space="0" w:color="000000"/>
            </w:tcBorders>
          </w:tcPr>
          <w:p w:rsidR="006A1CDC" w:rsidRPr="00286E49" w:rsidRDefault="006A1CDC" w:rsidP="009C02E4"/>
        </w:tc>
        <w:tc>
          <w:tcPr>
            <w:tcW w:w="1984" w:type="dxa"/>
            <w:tcBorders>
              <w:top w:val="single" w:sz="4" w:space="0" w:color="000000"/>
              <w:left w:val="single" w:sz="4" w:space="0" w:color="000000"/>
              <w:bottom w:val="single" w:sz="4" w:space="0" w:color="000000"/>
            </w:tcBorders>
          </w:tcPr>
          <w:p w:rsidR="006A1CDC" w:rsidRPr="00286E49" w:rsidRDefault="006A1CDC" w:rsidP="009C02E4">
            <w:r w:rsidRPr="00286E49">
              <w:t>11 lat</w:t>
            </w:r>
          </w:p>
        </w:tc>
        <w:tc>
          <w:tcPr>
            <w:tcW w:w="967"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2 pkt</w:t>
            </w:r>
          </w:p>
        </w:tc>
      </w:tr>
      <w:tr w:rsidR="006A1CDC" w:rsidRPr="00286E49">
        <w:trPr>
          <w:trHeight w:val="248"/>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4820" w:type="dxa"/>
            <w:vMerge/>
            <w:tcBorders>
              <w:top w:val="single" w:sz="4" w:space="0" w:color="000000"/>
              <w:left w:val="single" w:sz="4" w:space="0" w:color="000000"/>
              <w:bottom w:val="single" w:sz="4" w:space="0" w:color="000000"/>
            </w:tcBorders>
          </w:tcPr>
          <w:p w:rsidR="006A1CDC" w:rsidRPr="00286E49" w:rsidRDefault="006A1CDC" w:rsidP="009C02E4"/>
        </w:tc>
        <w:tc>
          <w:tcPr>
            <w:tcW w:w="1984" w:type="dxa"/>
            <w:tcBorders>
              <w:top w:val="single" w:sz="4" w:space="0" w:color="000000"/>
              <w:left w:val="single" w:sz="4" w:space="0" w:color="000000"/>
              <w:bottom w:val="single" w:sz="4" w:space="0" w:color="000000"/>
            </w:tcBorders>
          </w:tcPr>
          <w:p w:rsidR="006A1CDC" w:rsidRPr="00286E49" w:rsidRDefault="006A1CDC" w:rsidP="009C02E4">
            <w:r w:rsidRPr="00286E49">
              <w:t>10 lat</w:t>
            </w:r>
          </w:p>
        </w:tc>
        <w:tc>
          <w:tcPr>
            <w:tcW w:w="967"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9863" w:type="dxa"/>
            <w:gridSpan w:val="4"/>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346"/>
        </w:trPr>
        <w:tc>
          <w:tcPr>
            <w:tcW w:w="2092"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2 (G2)</w:t>
            </w:r>
          </w:p>
        </w:tc>
        <w:tc>
          <w:tcPr>
            <w:tcW w:w="4820" w:type="dxa"/>
            <w:vMerge w:val="restart"/>
            <w:tcBorders>
              <w:top w:val="single" w:sz="4" w:space="0" w:color="000000"/>
              <w:left w:val="single" w:sz="4" w:space="0" w:color="000000"/>
              <w:bottom w:val="single" w:sz="4" w:space="0" w:color="000000"/>
            </w:tcBorders>
          </w:tcPr>
          <w:p w:rsidR="006A1CDC" w:rsidRPr="00286E49" w:rsidRDefault="006A1CDC" w:rsidP="009C02E4">
            <w:r w:rsidRPr="00286E49">
              <w:t>Gwarancja na powłoki lakiernicze, uszczelnienia okien, drzwi.</w:t>
            </w:r>
          </w:p>
          <w:p w:rsidR="006A1CDC" w:rsidRPr="00286E49" w:rsidRDefault="006A1CDC" w:rsidP="009C02E4">
            <w:r w:rsidRPr="00286E49">
              <w:t xml:space="preserve">UWAGI ! </w:t>
            </w:r>
          </w:p>
          <w:p w:rsidR="006A1CDC" w:rsidRPr="00286E49" w:rsidRDefault="006A1CDC" w:rsidP="009C02E4">
            <w:r w:rsidRPr="00286E49">
              <w:t>- Okres gwarancji nie jest uzależniony od przebiegu kilometrów.</w:t>
            </w:r>
          </w:p>
          <w:p w:rsidR="006A1CDC" w:rsidRPr="00286E49" w:rsidRDefault="006A1CDC" w:rsidP="009C02E4">
            <w:r w:rsidRPr="00286E49">
              <w:t>- Zamawiający ustala, że maksymalny okres gwarancji oceniany w tym kryterium wynosi 7  lat.</w:t>
            </w:r>
          </w:p>
          <w:p w:rsidR="006A1CDC" w:rsidRPr="00286E49" w:rsidRDefault="006A1CDC" w:rsidP="009C02E4">
            <w:r w:rsidRPr="00286E49">
              <w:t>- Zamawiający ustala, że minimalny okres gwarancji w tym kryterium nie może być mniejszy niż okres 5 lat.</w:t>
            </w:r>
          </w:p>
        </w:tc>
        <w:tc>
          <w:tcPr>
            <w:tcW w:w="2951"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343"/>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4820" w:type="dxa"/>
            <w:vMerge/>
            <w:tcBorders>
              <w:top w:val="single" w:sz="4" w:space="0" w:color="000000"/>
              <w:left w:val="single" w:sz="4" w:space="0" w:color="000000"/>
              <w:bottom w:val="single" w:sz="4" w:space="0" w:color="000000"/>
            </w:tcBorders>
          </w:tcPr>
          <w:p w:rsidR="006A1CDC" w:rsidRPr="00286E49" w:rsidRDefault="006A1CDC" w:rsidP="009C02E4"/>
        </w:tc>
        <w:tc>
          <w:tcPr>
            <w:tcW w:w="1984" w:type="dxa"/>
            <w:tcBorders>
              <w:top w:val="single" w:sz="4" w:space="0" w:color="000000"/>
              <w:left w:val="single" w:sz="4" w:space="0" w:color="000000"/>
              <w:bottom w:val="single" w:sz="4" w:space="0" w:color="000000"/>
            </w:tcBorders>
          </w:tcPr>
          <w:p w:rsidR="006A1CDC" w:rsidRPr="00286E49" w:rsidRDefault="006A1CDC" w:rsidP="009C02E4">
            <w:r w:rsidRPr="00286E49">
              <w:t>7 lat</w:t>
            </w:r>
          </w:p>
        </w:tc>
        <w:tc>
          <w:tcPr>
            <w:tcW w:w="967"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3 pkt</w:t>
            </w:r>
          </w:p>
        </w:tc>
      </w:tr>
      <w:tr w:rsidR="006A1CDC" w:rsidRPr="00286E49">
        <w:trPr>
          <w:trHeight w:val="343"/>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4820" w:type="dxa"/>
            <w:vMerge/>
            <w:tcBorders>
              <w:top w:val="single" w:sz="4" w:space="0" w:color="000000"/>
              <w:left w:val="single" w:sz="4" w:space="0" w:color="000000"/>
              <w:bottom w:val="single" w:sz="4" w:space="0" w:color="000000"/>
            </w:tcBorders>
          </w:tcPr>
          <w:p w:rsidR="006A1CDC" w:rsidRPr="00286E49" w:rsidRDefault="006A1CDC" w:rsidP="009C02E4"/>
        </w:tc>
        <w:tc>
          <w:tcPr>
            <w:tcW w:w="1984" w:type="dxa"/>
            <w:tcBorders>
              <w:top w:val="single" w:sz="4" w:space="0" w:color="000000"/>
              <w:left w:val="single" w:sz="4" w:space="0" w:color="000000"/>
              <w:bottom w:val="single" w:sz="4" w:space="0" w:color="000000"/>
            </w:tcBorders>
          </w:tcPr>
          <w:p w:rsidR="006A1CDC" w:rsidRPr="00286E49" w:rsidRDefault="006A1CDC" w:rsidP="009C02E4">
            <w:r w:rsidRPr="00286E49">
              <w:t>6 lat</w:t>
            </w:r>
          </w:p>
        </w:tc>
        <w:tc>
          <w:tcPr>
            <w:tcW w:w="967"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2 pkt</w:t>
            </w:r>
          </w:p>
        </w:tc>
      </w:tr>
      <w:tr w:rsidR="006A1CDC" w:rsidRPr="00286E49">
        <w:trPr>
          <w:trHeight w:val="343"/>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4820" w:type="dxa"/>
            <w:vMerge/>
            <w:tcBorders>
              <w:top w:val="single" w:sz="4" w:space="0" w:color="000000"/>
              <w:left w:val="single" w:sz="4" w:space="0" w:color="000000"/>
              <w:bottom w:val="single" w:sz="4" w:space="0" w:color="000000"/>
            </w:tcBorders>
          </w:tcPr>
          <w:p w:rsidR="006A1CDC" w:rsidRPr="00286E49" w:rsidRDefault="006A1CDC" w:rsidP="009C02E4"/>
        </w:tc>
        <w:tc>
          <w:tcPr>
            <w:tcW w:w="1984" w:type="dxa"/>
            <w:tcBorders>
              <w:top w:val="single" w:sz="4" w:space="0" w:color="000000"/>
              <w:left w:val="single" w:sz="4" w:space="0" w:color="000000"/>
              <w:bottom w:val="single" w:sz="4" w:space="0" w:color="000000"/>
            </w:tcBorders>
          </w:tcPr>
          <w:p w:rsidR="006A1CDC" w:rsidRPr="00286E49" w:rsidRDefault="006A1CDC" w:rsidP="009C02E4">
            <w:r w:rsidRPr="00286E49">
              <w:t>5 lat</w:t>
            </w:r>
          </w:p>
        </w:tc>
        <w:tc>
          <w:tcPr>
            <w:tcW w:w="967"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9863" w:type="dxa"/>
            <w:gridSpan w:val="4"/>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489"/>
        </w:trPr>
        <w:tc>
          <w:tcPr>
            <w:tcW w:w="2092"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3 (G3)</w:t>
            </w:r>
          </w:p>
        </w:tc>
        <w:tc>
          <w:tcPr>
            <w:tcW w:w="4820" w:type="dxa"/>
            <w:vMerge w:val="restart"/>
            <w:tcBorders>
              <w:top w:val="single" w:sz="4" w:space="0" w:color="000000"/>
              <w:left w:val="single" w:sz="4" w:space="0" w:color="000000"/>
              <w:bottom w:val="single" w:sz="4" w:space="0" w:color="000000"/>
            </w:tcBorders>
          </w:tcPr>
          <w:p w:rsidR="006A1CDC" w:rsidRPr="00286E49" w:rsidRDefault="006A1CDC" w:rsidP="009C02E4">
            <w:r w:rsidRPr="00286E49">
              <w:t>Gwarancja na pozostałe zespoły, układy i elementy autobusu</w:t>
            </w:r>
          </w:p>
          <w:p w:rsidR="006A1CDC" w:rsidRPr="00286E49" w:rsidRDefault="006A1CDC" w:rsidP="009C02E4">
            <w:r w:rsidRPr="00286E49">
              <w:t>UWAGI:</w:t>
            </w:r>
          </w:p>
          <w:p w:rsidR="006A1CDC" w:rsidRPr="00286E49" w:rsidRDefault="006A1CDC" w:rsidP="009C02E4">
            <w:r w:rsidRPr="00286E49">
              <w:t>- okres gwarancji liczony jest w latach, jak również uzależniony jest od przebiegu każdego autobusu, począwszy od pierwszego dnia następującego po dniu, w którym dokonano odbioru autobusu.</w:t>
            </w:r>
          </w:p>
          <w:p w:rsidR="006A1CDC" w:rsidRPr="00286E49" w:rsidRDefault="006A1CDC" w:rsidP="009C02E4"/>
          <w:p w:rsidR="006A1CDC" w:rsidRPr="00286E49" w:rsidRDefault="006A1CDC" w:rsidP="009C02E4">
            <w:r w:rsidRPr="00286E49">
              <w:t>Zamawiający ustala, że minimalny okres gwarancji w tym kryterium nie może być mniejszy niż 5 lat i ogranicza się go do  400 000 km przebiegu każdego autobusu  (przy rocznym limicie 80 000 km) w zależności, który z warunków wcześniej zostanie spełniony. W przypadku wydłużenia gwarancji przez Wykonawcę, wskazany limit ulega proporcjonalnemu wydłużeniu (tj. 480 000 km przy 6 latach, 560 000 km przy 7 latach);</w:t>
            </w:r>
          </w:p>
          <w:p w:rsidR="006A1CDC" w:rsidRPr="00286E49" w:rsidRDefault="006A1CDC" w:rsidP="009C02E4"/>
          <w:p w:rsidR="006A1CDC" w:rsidRPr="00286E49" w:rsidRDefault="006A1CDC" w:rsidP="009C02E4">
            <w:r w:rsidRPr="00286E49">
              <w:t>- powyżej 2 roku eksploatacji gwarancja na cały autobus obejmuje spełnienie przez Wykonawcę wszystkich warunków gwarancji opisanych w SIWZ za wyjątkiem pokrycia kosztów robocizny pracowników Zamawiającego, o ile prace wykonywane są u Zamawiającego. W przypadku napraw zewnętrznych – tj. dokonywanych bezpośrednio przez Wykonawcę, poza siedzibą Zamawiającego, wszelkie koszty z tym związane (w tym koszty robocizny) pozostają po stronie Wykonawcy przez cały okres gwarancji.</w:t>
            </w:r>
          </w:p>
        </w:tc>
        <w:tc>
          <w:tcPr>
            <w:tcW w:w="2951"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488"/>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4820" w:type="dxa"/>
            <w:vMerge/>
            <w:tcBorders>
              <w:top w:val="single" w:sz="4" w:space="0" w:color="000000"/>
              <w:left w:val="single" w:sz="4" w:space="0" w:color="000000"/>
              <w:bottom w:val="single" w:sz="4" w:space="0" w:color="000000"/>
            </w:tcBorders>
          </w:tcPr>
          <w:p w:rsidR="006A1CDC" w:rsidRPr="00286E49" w:rsidRDefault="006A1CDC" w:rsidP="009C02E4"/>
        </w:tc>
        <w:tc>
          <w:tcPr>
            <w:tcW w:w="1984" w:type="dxa"/>
            <w:tcBorders>
              <w:top w:val="single" w:sz="4" w:space="0" w:color="000000"/>
              <w:left w:val="single" w:sz="4" w:space="0" w:color="000000"/>
              <w:bottom w:val="single" w:sz="4" w:space="0" w:color="000000"/>
            </w:tcBorders>
          </w:tcPr>
          <w:p w:rsidR="006A1CDC" w:rsidRPr="00286E49" w:rsidRDefault="006A1CDC" w:rsidP="009C02E4"/>
          <w:p w:rsidR="006A1CDC" w:rsidRPr="00286E49" w:rsidRDefault="006A1CDC" w:rsidP="009C02E4">
            <w:r w:rsidRPr="00286E49">
              <w:t>7 lat (z limitem 560 000 km)</w:t>
            </w:r>
          </w:p>
        </w:tc>
        <w:tc>
          <w:tcPr>
            <w:tcW w:w="967"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p w:rsidR="006A1CDC" w:rsidRPr="00286E49" w:rsidRDefault="006A1CDC" w:rsidP="009C02E4">
            <w:r w:rsidRPr="00286E49">
              <w:t>4 pkt</w:t>
            </w:r>
          </w:p>
        </w:tc>
      </w:tr>
      <w:tr w:rsidR="006A1CDC" w:rsidRPr="00286E49">
        <w:trPr>
          <w:trHeight w:val="488"/>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4820" w:type="dxa"/>
            <w:vMerge/>
            <w:tcBorders>
              <w:top w:val="single" w:sz="4" w:space="0" w:color="000000"/>
              <w:left w:val="single" w:sz="4" w:space="0" w:color="000000"/>
              <w:bottom w:val="single" w:sz="4" w:space="0" w:color="000000"/>
            </w:tcBorders>
          </w:tcPr>
          <w:p w:rsidR="006A1CDC" w:rsidRPr="00286E49" w:rsidRDefault="006A1CDC" w:rsidP="009C02E4"/>
        </w:tc>
        <w:tc>
          <w:tcPr>
            <w:tcW w:w="1984" w:type="dxa"/>
            <w:tcBorders>
              <w:top w:val="single" w:sz="4" w:space="0" w:color="000000"/>
              <w:left w:val="single" w:sz="4" w:space="0" w:color="000000"/>
              <w:bottom w:val="single" w:sz="4" w:space="0" w:color="000000"/>
            </w:tcBorders>
          </w:tcPr>
          <w:p w:rsidR="006A1CDC" w:rsidRPr="00286E49" w:rsidRDefault="006A1CDC" w:rsidP="009C02E4"/>
          <w:p w:rsidR="006A1CDC" w:rsidRPr="00286E49" w:rsidRDefault="006A1CDC" w:rsidP="009C02E4">
            <w:r w:rsidRPr="00286E49">
              <w:t>6 lat (z limitem 480 000 km)</w:t>
            </w:r>
          </w:p>
        </w:tc>
        <w:tc>
          <w:tcPr>
            <w:tcW w:w="967"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p w:rsidR="006A1CDC" w:rsidRPr="00286E49" w:rsidRDefault="006A1CDC" w:rsidP="009C02E4">
            <w:r w:rsidRPr="00286E49">
              <w:t>3 pkt</w:t>
            </w:r>
          </w:p>
        </w:tc>
      </w:tr>
      <w:tr w:rsidR="006A1CDC" w:rsidRPr="00286E49">
        <w:trPr>
          <w:trHeight w:val="488"/>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4820" w:type="dxa"/>
            <w:vMerge/>
            <w:tcBorders>
              <w:top w:val="single" w:sz="4" w:space="0" w:color="000000"/>
              <w:left w:val="single" w:sz="4" w:space="0" w:color="000000"/>
              <w:bottom w:val="single" w:sz="4" w:space="0" w:color="000000"/>
            </w:tcBorders>
          </w:tcPr>
          <w:p w:rsidR="006A1CDC" w:rsidRPr="00286E49" w:rsidRDefault="006A1CDC" w:rsidP="009C02E4"/>
        </w:tc>
        <w:tc>
          <w:tcPr>
            <w:tcW w:w="1984" w:type="dxa"/>
            <w:tcBorders>
              <w:top w:val="single" w:sz="4" w:space="0" w:color="000000"/>
              <w:left w:val="single" w:sz="4" w:space="0" w:color="000000"/>
              <w:bottom w:val="single" w:sz="4" w:space="0" w:color="000000"/>
            </w:tcBorders>
          </w:tcPr>
          <w:p w:rsidR="006A1CDC" w:rsidRPr="00286E49" w:rsidRDefault="006A1CDC" w:rsidP="009C02E4"/>
          <w:p w:rsidR="006A1CDC" w:rsidRPr="00286E49" w:rsidRDefault="006A1CDC" w:rsidP="009C02E4">
            <w:r w:rsidRPr="00286E49">
              <w:t>5 lat (z limitem 400 000 km)</w:t>
            </w:r>
          </w:p>
        </w:tc>
        <w:tc>
          <w:tcPr>
            <w:tcW w:w="967" w:type="dxa"/>
            <w:tcBorders>
              <w:top w:val="single" w:sz="4" w:space="0" w:color="000000"/>
              <w:left w:val="single" w:sz="4" w:space="0" w:color="000000"/>
              <w:bottom w:val="single" w:sz="4" w:space="0" w:color="000000"/>
              <w:right w:val="single" w:sz="4" w:space="0" w:color="000000"/>
            </w:tcBorders>
          </w:tcPr>
          <w:p w:rsidR="006A1CDC" w:rsidRPr="00286E49" w:rsidRDefault="006A1CDC" w:rsidP="009C02E4"/>
          <w:p w:rsidR="006A1CDC" w:rsidRPr="00286E49" w:rsidRDefault="006A1CDC" w:rsidP="009C02E4">
            <w:r w:rsidRPr="00286E49">
              <w:t>0 pkt</w:t>
            </w:r>
          </w:p>
        </w:tc>
      </w:tr>
    </w:tbl>
    <w:p w:rsidR="006A1CDC" w:rsidRPr="00286E49" w:rsidRDefault="006A1CDC" w:rsidP="009C02E4"/>
    <w:p w:rsidR="006A1CDC" w:rsidRPr="00286E49" w:rsidRDefault="006A1CDC" w:rsidP="009C02E4">
      <w:pPr>
        <w:rPr>
          <w:b/>
          <w:bCs/>
        </w:rPr>
      </w:pPr>
      <w:r w:rsidRPr="00286E49">
        <w:rPr>
          <w:b/>
          <w:bCs/>
        </w:rPr>
        <w:t>Część II dla autobusów „MINI”- ośmiometrowych</w:t>
      </w:r>
    </w:p>
    <w:p w:rsidR="006A1CDC" w:rsidRPr="00286E49" w:rsidRDefault="006A1CDC" w:rsidP="009C02E4"/>
    <w:p w:rsidR="006A1CDC" w:rsidRPr="00286E49" w:rsidRDefault="006A1CDC" w:rsidP="009C02E4"/>
    <w:tbl>
      <w:tblPr>
        <w:tblW w:w="9863" w:type="dxa"/>
        <w:tblInd w:w="2" w:type="dxa"/>
        <w:tblLayout w:type="fixed"/>
        <w:tblLook w:val="0000"/>
      </w:tblPr>
      <w:tblGrid>
        <w:gridCol w:w="2140"/>
        <w:gridCol w:w="3635"/>
        <w:gridCol w:w="2982"/>
        <w:gridCol w:w="140"/>
        <w:gridCol w:w="137"/>
        <w:gridCol w:w="829"/>
      </w:tblGrid>
      <w:tr w:rsidR="006A1CDC" w:rsidRPr="00286E49">
        <w:trPr>
          <w:trHeight w:val="384"/>
        </w:trPr>
        <w:tc>
          <w:tcPr>
            <w:tcW w:w="9863" w:type="dxa"/>
            <w:gridSpan w:val="6"/>
            <w:tcBorders>
              <w:top w:val="single" w:sz="4" w:space="0" w:color="000000"/>
              <w:left w:val="single" w:sz="4" w:space="0" w:color="000000"/>
              <w:bottom w:val="single" w:sz="4" w:space="0" w:color="000000"/>
              <w:right w:val="single" w:sz="4" w:space="0" w:color="000000"/>
            </w:tcBorders>
            <w:vAlign w:val="center"/>
          </w:tcPr>
          <w:p w:rsidR="006A1CDC" w:rsidRPr="00286E49" w:rsidRDefault="006A1CDC" w:rsidP="009C02E4">
            <w:r w:rsidRPr="00286E49">
              <w:t>W zakresie kryterium „Parametry techniczno – eksploatacyjne”</w:t>
            </w:r>
          </w:p>
        </w:tc>
      </w:tr>
      <w:tr w:rsidR="006A1CDC" w:rsidRPr="00286E49">
        <w:trPr>
          <w:trHeight w:val="425"/>
        </w:trPr>
        <w:tc>
          <w:tcPr>
            <w:tcW w:w="2140"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1 (T1)</w:t>
            </w:r>
          </w:p>
        </w:tc>
        <w:tc>
          <w:tcPr>
            <w:tcW w:w="3635"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Pojemność sko</w:t>
            </w:r>
            <w:bookmarkStart w:id="0" w:name="_GoBack"/>
            <w:bookmarkEnd w:id="0"/>
            <w:r w:rsidRPr="00286E49">
              <w:t>kowa silnika. Max 3,0 dm3</w:t>
            </w:r>
          </w:p>
        </w:tc>
        <w:tc>
          <w:tcPr>
            <w:tcW w:w="4088" w:type="dxa"/>
            <w:gridSpan w:val="4"/>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567"/>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259" w:type="dxa"/>
            <w:gridSpan w:val="3"/>
            <w:tcBorders>
              <w:top w:val="single" w:sz="4" w:space="0" w:color="000000"/>
              <w:left w:val="single" w:sz="4" w:space="0" w:color="000000"/>
              <w:bottom w:val="single" w:sz="4" w:space="0" w:color="000000"/>
            </w:tcBorders>
            <w:vAlign w:val="center"/>
          </w:tcPr>
          <w:p w:rsidR="006A1CDC" w:rsidRPr="00286E49" w:rsidRDefault="006A1CDC" w:rsidP="009C02E4">
            <w:r w:rsidRPr="00286E49">
              <w:t>Powyżej 2,5 dm3 nie więcej niż 3,0 dm3</w:t>
            </w:r>
          </w:p>
        </w:tc>
        <w:tc>
          <w:tcPr>
            <w:tcW w:w="829" w:type="dxa"/>
            <w:tcBorders>
              <w:top w:val="single" w:sz="4" w:space="0" w:color="000000"/>
              <w:left w:val="single" w:sz="4" w:space="0" w:color="000000"/>
              <w:bottom w:val="single" w:sz="4" w:space="0" w:color="000000"/>
              <w:right w:val="single" w:sz="4" w:space="0" w:color="000000"/>
            </w:tcBorders>
            <w:vAlign w:val="center"/>
          </w:tcPr>
          <w:p w:rsidR="006A1CDC" w:rsidRPr="00286E49" w:rsidRDefault="006A1CDC" w:rsidP="009C02E4">
            <w:r w:rsidRPr="00286E49">
              <w:t>3 pkt</w:t>
            </w:r>
          </w:p>
        </w:tc>
      </w:tr>
      <w:tr w:rsidR="006A1CDC" w:rsidRPr="00066AB8">
        <w:trPr>
          <w:trHeight w:val="567"/>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259" w:type="dxa"/>
            <w:gridSpan w:val="3"/>
            <w:tcBorders>
              <w:top w:val="single" w:sz="4" w:space="0" w:color="000000"/>
              <w:left w:val="single" w:sz="4" w:space="0" w:color="000000"/>
              <w:bottom w:val="single" w:sz="4" w:space="0" w:color="000000"/>
            </w:tcBorders>
            <w:vAlign w:val="center"/>
          </w:tcPr>
          <w:p w:rsidR="006A1CDC" w:rsidRPr="00066AB8" w:rsidRDefault="006A1CDC" w:rsidP="004803BC">
            <w:r w:rsidRPr="00066AB8">
              <w:t xml:space="preserve">Poniżej 2,5 dm3 </w:t>
            </w:r>
          </w:p>
        </w:tc>
        <w:tc>
          <w:tcPr>
            <w:tcW w:w="829" w:type="dxa"/>
            <w:tcBorders>
              <w:top w:val="single" w:sz="4" w:space="0" w:color="000000"/>
              <w:left w:val="single" w:sz="4" w:space="0" w:color="000000"/>
              <w:bottom w:val="single" w:sz="4" w:space="0" w:color="000000"/>
              <w:right w:val="single" w:sz="4" w:space="0" w:color="000000"/>
            </w:tcBorders>
            <w:vAlign w:val="center"/>
          </w:tcPr>
          <w:p w:rsidR="006A1CDC" w:rsidRPr="00066AB8" w:rsidRDefault="006A1CDC" w:rsidP="009C02E4">
            <w:r w:rsidRPr="00066AB8">
              <w:t>0 pkt</w:t>
            </w:r>
          </w:p>
        </w:tc>
      </w:tr>
      <w:tr w:rsidR="006A1CDC" w:rsidRPr="00286E49">
        <w:trPr>
          <w:trHeight w:val="284"/>
        </w:trPr>
        <w:tc>
          <w:tcPr>
            <w:tcW w:w="9863" w:type="dxa"/>
            <w:gridSpan w:val="6"/>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280"/>
        </w:trPr>
        <w:tc>
          <w:tcPr>
            <w:tcW w:w="2140"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2 (T2)</w:t>
            </w:r>
          </w:p>
        </w:tc>
        <w:tc>
          <w:tcPr>
            <w:tcW w:w="3635" w:type="dxa"/>
            <w:vMerge w:val="restart"/>
            <w:tcBorders>
              <w:top w:val="single" w:sz="4" w:space="0" w:color="000000"/>
              <w:left w:val="single" w:sz="4" w:space="0" w:color="000000"/>
              <w:bottom w:val="single" w:sz="4" w:space="0" w:color="000000"/>
            </w:tcBorders>
          </w:tcPr>
          <w:p w:rsidR="006A1CDC" w:rsidRPr="00286E49" w:rsidRDefault="006A1CDC" w:rsidP="009C02E4"/>
          <w:p w:rsidR="006A1CDC" w:rsidRPr="00286E49" w:rsidRDefault="006A1CDC" w:rsidP="009C02E4">
            <w:r w:rsidRPr="00286E49">
              <w:t>Podatność obsługowo-naprawcza.</w:t>
            </w:r>
          </w:p>
          <w:p w:rsidR="006A1CDC" w:rsidRPr="00286E49" w:rsidRDefault="006A1CDC" w:rsidP="009C02E4"/>
        </w:tc>
        <w:tc>
          <w:tcPr>
            <w:tcW w:w="4088" w:type="dxa"/>
            <w:gridSpan w:val="4"/>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607"/>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9C02E4">
            <w:r w:rsidRPr="00286E49">
              <w:t>Poszycie boczne zewnętrzne dzielone w pionie mocowane na wkręty</w:t>
            </w:r>
          </w:p>
        </w:tc>
        <w:tc>
          <w:tcPr>
            <w:tcW w:w="966" w:type="dxa"/>
            <w:gridSpan w:val="2"/>
            <w:tcBorders>
              <w:top w:val="single" w:sz="4" w:space="0" w:color="000000"/>
              <w:left w:val="single" w:sz="4" w:space="0" w:color="000000"/>
              <w:bottom w:val="single" w:sz="4" w:space="0" w:color="000000"/>
              <w:right w:val="single" w:sz="4" w:space="0" w:color="000000"/>
            </w:tcBorders>
            <w:vAlign w:val="center"/>
          </w:tcPr>
          <w:p w:rsidR="006A1CDC" w:rsidRPr="00286E49" w:rsidRDefault="006A1CDC" w:rsidP="009C02E4">
            <w:r w:rsidRPr="00286E49">
              <w:t>3,5 pkt</w:t>
            </w:r>
          </w:p>
        </w:tc>
      </w:tr>
      <w:tr w:rsidR="006A1CDC" w:rsidRPr="00286E49">
        <w:trPr>
          <w:trHeight w:val="607"/>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9C02E4">
            <w:r w:rsidRPr="00286E49">
              <w:t>Poszycie boczne zewnętrzne dzielone w pionie mocowane metodą klejenia</w:t>
            </w:r>
          </w:p>
        </w:tc>
        <w:tc>
          <w:tcPr>
            <w:tcW w:w="966" w:type="dxa"/>
            <w:gridSpan w:val="2"/>
            <w:tcBorders>
              <w:top w:val="single" w:sz="4" w:space="0" w:color="000000"/>
              <w:left w:val="single" w:sz="4" w:space="0" w:color="000000"/>
              <w:bottom w:val="single" w:sz="4" w:space="0" w:color="000000"/>
              <w:right w:val="single" w:sz="4" w:space="0" w:color="000000"/>
            </w:tcBorders>
            <w:vAlign w:val="center"/>
          </w:tcPr>
          <w:p w:rsidR="006A1CDC" w:rsidRPr="00286E49" w:rsidRDefault="006A1CDC" w:rsidP="009C02E4">
            <w:r w:rsidRPr="00286E49">
              <w:t>2,5 pkt</w:t>
            </w:r>
          </w:p>
        </w:tc>
      </w:tr>
      <w:tr w:rsidR="006A1CDC" w:rsidRPr="00286E49">
        <w:trPr>
          <w:trHeight w:val="607"/>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9C02E4">
            <w:r w:rsidRPr="00286E49">
              <w:t>Poszycie boczne zewnętrzne dzielone w pionie mocowane za pomocą spawania, nitowania</w:t>
            </w:r>
          </w:p>
        </w:tc>
        <w:tc>
          <w:tcPr>
            <w:tcW w:w="966" w:type="dxa"/>
            <w:gridSpan w:val="2"/>
            <w:tcBorders>
              <w:top w:val="single" w:sz="4" w:space="0" w:color="000000"/>
              <w:left w:val="single" w:sz="4" w:space="0" w:color="000000"/>
              <w:bottom w:val="single" w:sz="4" w:space="0" w:color="000000"/>
              <w:right w:val="single" w:sz="4" w:space="0" w:color="000000"/>
            </w:tcBorders>
            <w:vAlign w:val="center"/>
          </w:tcPr>
          <w:p w:rsidR="006A1CDC" w:rsidRPr="00286E49" w:rsidRDefault="006A1CDC" w:rsidP="009C02E4">
            <w:r w:rsidRPr="00286E49">
              <w:t>0 pkt</w:t>
            </w:r>
          </w:p>
        </w:tc>
      </w:tr>
      <w:tr w:rsidR="006A1CDC" w:rsidRPr="00286E49">
        <w:trPr>
          <w:trHeight w:val="284"/>
        </w:trPr>
        <w:tc>
          <w:tcPr>
            <w:tcW w:w="9863" w:type="dxa"/>
            <w:gridSpan w:val="6"/>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129"/>
        </w:trPr>
        <w:tc>
          <w:tcPr>
            <w:tcW w:w="2140"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3 (T3)</w:t>
            </w:r>
          </w:p>
          <w:p w:rsidR="006A1CDC" w:rsidRPr="00286E49" w:rsidRDefault="006A1CDC" w:rsidP="009C02E4"/>
        </w:tc>
        <w:tc>
          <w:tcPr>
            <w:tcW w:w="3635" w:type="dxa"/>
            <w:vMerge w:val="restart"/>
            <w:tcBorders>
              <w:top w:val="single" w:sz="4" w:space="0" w:color="000000"/>
              <w:left w:val="single" w:sz="4" w:space="0" w:color="000000"/>
              <w:bottom w:val="single" w:sz="4" w:space="0" w:color="000000"/>
            </w:tcBorders>
          </w:tcPr>
          <w:p w:rsidR="006A1CDC" w:rsidRPr="00286E49" w:rsidRDefault="006A1CDC" w:rsidP="009C02E4">
            <w:r w:rsidRPr="00286E49">
              <w:t>Zużycie paliwa:</w:t>
            </w:r>
          </w:p>
          <w:p w:rsidR="006A1CDC" w:rsidRPr="00286E49" w:rsidRDefault="006A1CDC" w:rsidP="009C02E4"/>
          <w:p w:rsidR="006A1CDC" w:rsidRPr="00286E49" w:rsidRDefault="006A1CDC" w:rsidP="009C02E4">
            <w:r w:rsidRPr="00286E49">
              <w:t>Autobusy muszą spełniać warunki maksymalnego zużycia oleju napędowego na podstawie testu SORT-2 nie większego niż 20 litrów/100 km.</w:t>
            </w:r>
          </w:p>
        </w:tc>
        <w:tc>
          <w:tcPr>
            <w:tcW w:w="4088" w:type="dxa"/>
            <w:gridSpan w:val="4"/>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129"/>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9C02E4">
            <w:r w:rsidRPr="00286E49">
              <w:t>Spalanie w wysokości poniżej 15  l/100 km</w:t>
            </w:r>
          </w:p>
        </w:tc>
        <w:tc>
          <w:tcPr>
            <w:tcW w:w="966"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3,5 pkt</w:t>
            </w:r>
          </w:p>
        </w:tc>
      </w:tr>
      <w:tr w:rsidR="006A1CDC" w:rsidRPr="00286E49">
        <w:trPr>
          <w:trHeight w:val="129"/>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9C02E4">
            <w:r w:rsidRPr="00286E49">
              <w:t>Spalanie w wysokości poniżej 17  l/100 km</w:t>
            </w:r>
          </w:p>
        </w:tc>
        <w:tc>
          <w:tcPr>
            <w:tcW w:w="966"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2,5 pkt</w:t>
            </w:r>
          </w:p>
        </w:tc>
      </w:tr>
      <w:tr w:rsidR="006A1CDC" w:rsidRPr="00286E49">
        <w:trPr>
          <w:trHeight w:val="129"/>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815B30">
            <w:r w:rsidRPr="00286E49">
              <w:t>Spalanie w wysokości poniżej 19,5  l/100 km</w:t>
            </w:r>
          </w:p>
        </w:tc>
        <w:tc>
          <w:tcPr>
            <w:tcW w:w="966"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815B30">
            <w:r w:rsidRPr="00286E49">
              <w:t>1,5 pkt</w:t>
            </w:r>
          </w:p>
        </w:tc>
      </w:tr>
      <w:tr w:rsidR="006A1CDC" w:rsidRPr="00286E49">
        <w:trPr>
          <w:trHeight w:val="129"/>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9C02E4">
            <w:r w:rsidRPr="00286E49">
              <w:t>Spalanie w wysokości powyżej 19,5  l/100 km lecz nie więcej niż 20 l/100km</w:t>
            </w:r>
          </w:p>
        </w:tc>
        <w:tc>
          <w:tcPr>
            <w:tcW w:w="966"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9863" w:type="dxa"/>
            <w:gridSpan w:val="6"/>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130"/>
        </w:trPr>
        <w:tc>
          <w:tcPr>
            <w:tcW w:w="2140" w:type="dxa"/>
            <w:vMerge w:val="restart"/>
            <w:tcBorders>
              <w:top w:val="single" w:sz="4" w:space="0" w:color="000000"/>
              <w:left w:val="single" w:sz="4" w:space="0" w:color="000000"/>
              <w:bottom w:val="single" w:sz="4" w:space="0" w:color="000000"/>
            </w:tcBorders>
          </w:tcPr>
          <w:p w:rsidR="006A1CDC" w:rsidRPr="00286E49" w:rsidRDefault="006A1CDC" w:rsidP="009C02E4">
            <w:r w:rsidRPr="00286E49">
              <w:t>Podkryterium 4 (T4)</w:t>
            </w:r>
          </w:p>
        </w:tc>
        <w:tc>
          <w:tcPr>
            <w:tcW w:w="3635" w:type="dxa"/>
            <w:vMerge w:val="restart"/>
            <w:tcBorders>
              <w:top w:val="single" w:sz="4" w:space="0" w:color="000000"/>
              <w:left w:val="single" w:sz="4" w:space="0" w:color="000000"/>
              <w:bottom w:val="single" w:sz="4" w:space="0" w:color="000000"/>
            </w:tcBorders>
          </w:tcPr>
          <w:p w:rsidR="006A1CDC" w:rsidRPr="00286E49" w:rsidRDefault="006A1CDC" w:rsidP="009C02E4">
            <w:r w:rsidRPr="00286E49">
              <w:t xml:space="preserve">Ilość miejsc ogółem min.34 (siedzące plus stojące). </w:t>
            </w:r>
          </w:p>
          <w:p w:rsidR="006A1CDC" w:rsidRPr="00286E49" w:rsidRDefault="006A1CDC" w:rsidP="009C02E4"/>
        </w:tc>
        <w:tc>
          <w:tcPr>
            <w:tcW w:w="4088" w:type="dxa"/>
            <w:gridSpan w:val="4"/>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129"/>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9C02E4">
            <w:r w:rsidRPr="00286E49">
              <w:t>Powyżej 40</w:t>
            </w:r>
          </w:p>
        </w:tc>
        <w:tc>
          <w:tcPr>
            <w:tcW w:w="966"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3 pkt</w:t>
            </w:r>
          </w:p>
        </w:tc>
      </w:tr>
      <w:tr w:rsidR="006A1CDC" w:rsidRPr="00286E49">
        <w:trPr>
          <w:trHeight w:val="129"/>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815B30">
            <w:r w:rsidRPr="00286E49">
              <w:t>Między 36 - 40</w:t>
            </w:r>
          </w:p>
        </w:tc>
        <w:tc>
          <w:tcPr>
            <w:tcW w:w="966"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815B30">
            <w:r w:rsidRPr="00286E49">
              <w:t>1,5 pkt</w:t>
            </w:r>
          </w:p>
        </w:tc>
      </w:tr>
      <w:tr w:rsidR="006A1CDC" w:rsidRPr="00286E49">
        <w:trPr>
          <w:trHeight w:val="129"/>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3122" w:type="dxa"/>
            <w:gridSpan w:val="2"/>
            <w:tcBorders>
              <w:top w:val="single" w:sz="4" w:space="0" w:color="000000"/>
              <w:left w:val="single" w:sz="4" w:space="0" w:color="000000"/>
              <w:bottom w:val="single" w:sz="4" w:space="0" w:color="000000"/>
            </w:tcBorders>
          </w:tcPr>
          <w:p w:rsidR="006A1CDC" w:rsidRPr="00286E49" w:rsidRDefault="006A1CDC" w:rsidP="009C02E4">
            <w:r w:rsidRPr="00286E49">
              <w:t>Poniżej 36 lecz nie mniej niż 34</w:t>
            </w:r>
          </w:p>
        </w:tc>
        <w:tc>
          <w:tcPr>
            <w:tcW w:w="966"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9863" w:type="dxa"/>
            <w:gridSpan w:val="6"/>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130"/>
        </w:trPr>
        <w:tc>
          <w:tcPr>
            <w:tcW w:w="2140" w:type="dxa"/>
            <w:vMerge w:val="restart"/>
            <w:tcBorders>
              <w:top w:val="single" w:sz="4" w:space="0" w:color="000000"/>
              <w:left w:val="single" w:sz="4" w:space="0" w:color="000000"/>
              <w:bottom w:val="single" w:sz="4" w:space="0" w:color="000000"/>
            </w:tcBorders>
          </w:tcPr>
          <w:p w:rsidR="006A1CDC" w:rsidRPr="00286E49" w:rsidRDefault="006A1CDC" w:rsidP="009C02E4">
            <w:r w:rsidRPr="00286E49">
              <w:t>Podkryterium 5 (T5)</w:t>
            </w:r>
          </w:p>
        </w:tc>
        <w:tc>
          <w:tcPr>
            <w:tcW w:w="3635" w:type="dxa"/>
            <w:vMerge w:val="restart"/>
            <w:tcBorders>
              <w:top w:val="single" w:sz="4" w:space="0" w:color="000000"/>
              <w:left w:val="single" w:sz="4" w:space="0" w:color="000000"/>
              <w:bottom w:val="single" w:sz="4" w:space="0" w:color="000000"/>
            </w:tcBorders>
          </w:tcPr>
          <w:p w:rsidR="006A1CDC" w:rsidRPr="00286E49" w:rsidRDefault="006A1CDC" w:rsidP="00C321E8">
            <w:pPr>
              <w:ind w:hanging="10"/>
              <w:jc w:val="center"/>
              <w:rPr>
                <w:b/>
                <w:bCs/>
              </w:rPr>
            </w:pPr>
            <w:r w:rsidRPr="00286E49">
              <w:t>Podłoga pojazdu płaska na całej długości autobusu (bez stopni wejściowych we wszystkich drzwiach oraz bez stopni poprzecznych w przejściu wewnątrz autobusu na całej długości)</w:t>
            </w:r>
          </w:p>
          <w:p w:rsidR="006A1CDC" w:rsidRPr="00286E49" w:rsidRDefault="006A1CDC" w:rsidP="009C02E4"/>
        </w:tc>
        <w:tc>
          <w:tcPr>
            <w:tcW w:w="4088" w:type="dxa"/>
            <w:gridSpan w:val="4"/>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129"/>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2982" w:type="dxa"/>
            <w:tcBorders>
              <w:top w:val="single" w:sz="4" w:space="0" w:color="000000"/>
              <w:left w:val="single" w:sz="4" w:space="0" w:color="000000"/>
              <w:bottom w:val="single" w:sz="4" w:space="0" w:color="000000"/>
            </w:tcBorders>
          </w:tcPr>
          <w:p w:rsidR="006A1CDC" w:rsidRPr="00286E49" w:rsidRDefault="006A1CDC" w:rsidP="009C02E4">
            <w:r w:rsidRPr="00286E49">
              <w:t>Spełnienie warunku niskiej podłogi</w:t>
            </w:r>
          </w:p>
        </w:tc>
        <w:tc>
          <w:tcPr>
            <w:tcW w:w="1106"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22 pkt</w:t>
            </w:r>
          </w:p>
        </w:tc>
      </w:tr>
      <w:tr w:rsidR="006A1CDC" w:rsidRPr="00286E49">
        <w:trPr>
          <w:trHeight w:val="129"/>
        </w:trPr>
        <w:tc>
          <w:tcPr>
            <w:tcW w:w="2140" w:type="dxa"/>
            <w:vMerge/>
            <w:tcBorders>
              <w:top w:val="single" w:sz="4" w:space="0" w:color="000000"/>
              <w:left w:val="single" w:sz="4" w:space="0" w:color="000000"/>
              <w:bottom w:val="single" w:sz="4" w:space="0" w:color="000000"/>
            </w:tcBorders>
          </w:tcPr>
          <w:p w:rsidR="006A1CDC" w:rsidRPr="00286E49" w:rsidRDefault="006A1CDC" w:rsidP="009C02E4"/>
        </w:tc>
        <w:tc>
          <w:tcPr>
            <w:tcW w:w="3635" w:type="dxa"/>
            <w:vMerge/>
            <w:tcBorders>
              <w:top w:val="single" w:sz="4" w:space="0" w:color="000000"/>
              <w:left w:val="single" w:sz="4" w:space="0" w:color="000000"/>
              <w:bottom w:val="single" w:sz="4" w:space="0" w:color="000000"/>
            </w:tcBorders>
          </w:tcPr>
          <w:p w:rsidR="006A1CDC" w:rsidRPr="00286E49" w:rsidRDefault="006A1CDC" w:rsidP="009C02E4"/>
        </w:tc>
        <w:tc>
          <w:tcPr>
            <w:tcW w:w="2982" w:type="dxa"/>
            <w:tcBorders>
              <w:top w:val="single" w:sz="4" w:space="0" w:color="000000"/>
              <w:left w:val="single" w:sz="4" w:space="0" w:color="000000"/>
              <w:bottom w:val="single" w:sz="4" w:space="0" w:color="000000"/>
            </w:tcBorders>
          </w:tcPr>
          <w:p w:rsidR="006A1CDC" w:rsidRPr="00286E49" w:rsidRDefault="006A1CDC" w:rsidP="009C02E4">
            <w:r w:rsidRPr="00286E49">
              <w:t>Niespełnienie warunku niskiej podłogi</w:t>
            </w:r>
          </w:p>
        </w:tc>
        <w:tc>
          <w:tcPr>
            <w:tcW w:w="1106"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0 pkt</w:t>
            </w:r>
          </w:p>
        </w:tc>
      </w:tr>
    </w:tbl>
    <w:p w:rsidR="006A1CDC" w:rsidRPr="00286E49" w:rsidRDefault="006A1CDC" w:rsidP="009C02E4"/>
    <w:p w:rsidR="006A1CDC" w:rsidRPr="00286E49" w:rsidRDefault="006A1CDC" w:rsidP="009C02E4"/>
    <w:p w:rsidR="006A1CDC" w:rsidRPr="00286E49" w:rsidRDefault="006A1CDC" w:rsidP="009C02E4"/>
    <w:tbl>
      <w:tblPr>
        <w:tblW w:w="10100" w:type="dxa"/>
        <w:tblInd w:w="2" w:type="dxa"/>
        <w:tblLayout w:type="fixed"/>
        <w:tblLook w:val="0000"/>
      </w:tblPr>
      <w:tblGrid>
        <w:gridCol w:w="2092"/>
        <w:gridCol w:w="3825"/>
        <w:gridCol w:w="40"/>
        <w:gridCol w:w="2799"/>
        <w:gridCol w:w="27"/>
        <w:gridCol w:w="1317"/>
      </w:tblGrid>
      <w:tr w:rsidR="006A1CDC" w:rsidRPr="00286E49">
        <w:trPr>
          <w:trHeight w:val="384"/>
        </w:trPr>
        <w:tc>
          <w:tcPr>
            <w:tcW w:w="10100" w:type="dxa"/>
            <w:gridSpan w:val="6"/>
            <w:tcBorders>
              <w:top w:val="single" w:sz="4" w:space="0" w:color="000000"/>
              <w:left w:val="single" w:sz="4" w:space="0" w:color="000000"/>
              <w:bottom w:val="single" w:sz="4" w:space="0" w:color="000000"/>
              <w:right w:val="single" w:sz="4" w:space="0" w:color="000000"/>
            </w:tcBorders>
          </w:tcPr>
          <w:p w:rsidR="006A1CDC" w:rsidRPr="00286E49" w:rsidRDefault="006A1CDC" w:rsidP="009C02E4"/>
          <w:p w:rsidR="006A1CDC" w:rsidRPr="00286E49" w:rsidRDefault="006A1CDC" w:rsidP="009C02E4">
            <w:r w:rsidRPr="00286E49">
              <w:t>W zakresie kryterium „Gwarancja”</w:t>
            </w:r>
          </w:p>
          <w:p w:rsidR="006A1CDC" w:rsidRPr="00286E49" w:rsidRDefault="006A1CDC" w:rsidP="009C02E4"/>
        </w:tc>
      </w:tr>
      <w:tr w:rsidR="006A1CDC" w:rsidRPr="00286E49">
        <w:trPr>
          <w:trHeight w:val="211"/>
        </w:trPr>
        <w:tc>
          <w:tcPr>
            <w:tcW w:w="2092"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1 (G1)</w:t>
            </w:r>
          </w:p>
        </w:tc>
        <w:tc>
          <w:tcPr>
            <w:tcW w:w="3865" w:type="dxa"/>
            <w:gridSpan w:val="2"/>
            <w:vMerge w:val="restart"/>
            <w:tcBorders>
              <w:top w:val="single" w:sz="4" w:space="0" w:color="000000"/>
              <w:left w:val="single" w:sz="4" w:space="0" w:color="000000"/>
              <w:bottom w:val="single" w:sz="4" w:space="0" w:color="000000"/>
            </w:tcBorders>
          </w:tcPr>
          <w:p w:rsidR="006A1CDC" w:rsidRPr="00286E49" w:rsidRDefault="006A1CDC" w:rsidP="009C02E4">
            <w:r w:rsidRPr="00286E49">
              <w:t>Gwarancja na szkielet kratownicy nadwozia oraz kratownicę/ramę podwozia, trwałość konstrukcji nośnej, perforację nadwozia.</w:t>
            </w:r>
          </w:p>
          <w:p w:rsidR="006A1CDC" w:rsidRPr="00286E49" w:rsidRDefault="006A1CDC" w:rsidP="009C02E4">
            <w:r w:rsidRPr="00286E49">
              <w:t>UWAGI !</w:t>
            </w:r>
          </w:p>
          <w:p w:rsidR="006A1CDC" w:rsidRPr="00286E49" w:rsidRDefault="006A1CDC" w:rsidP="009C02E4">
            <w:r w:rsidRPr="00286E49">
              <w:t>- Okres gwarancji nie jest uzależniony od przebiegu kilometrów,</w:t>
            </w:r>
          </w:p>
          <w:p w:rsidR="006A1CDC" w:rsidRPr="00286E49" w:rsidRDefault="006A1CDC" w:rsidP="009C02E4">
            <w:r w:rsidRPr="00286E49">
              <w:t>- Zamawiający ustala, że maksymalny okres gwarancji oceniany w tym kryterium wynosi 12 lat,</w:t>
            </w:r>
          </w:p>
          <w:p w:rsidR="006A1CDC" w:rsidRPr="00286E49" w:rsidRDefault="006A1CDC" w:rsidP="009C02E4">
            <w:r w:rsidRPr="00286E49">
              <w:t>- Zamawiający ustala, że minimalny okres gwarancji  w tym kryterium nie może być mniejszy niż okres 10 lat.</w:t>
            </w:r>
          </w:p>
        </w:tc>
        <w:tc>
          <w:tcPr>
            <w:tcW w:w="4143"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 xml:space="preserve">Punkty zostaną przyznane </w:t>
            </w:r>
          </w:p>
          <w:p w:rsidR="006A1CDC" w:rsidRPr="00286E49" w:rsidRDefault="006A1CDC" w:rsidP="009C02E4">
            <w:r w:rsidRPr="00286E49">
              <w:t>wg następujących zasad:</w:t>
            </w:r>
          </w:p>
        </w:tc>
      </w:tr>
      <w:tr w:rsidR="006A1CDC" w:rsidRPr="00286E49">
        <w:trPr>
          <w:trHeight w:val="250"/>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3865" w:type="dxa"/>
            <w:gridSpan w:val="2"/>
            <w:vMerge/>
            <w:tcBorders>
              <w:top w:val="single" w:sz="4" w:space="0" w:color="000000"/>
              <w:left w:val="single" w:sz="4" w:space="0" w:color="000000"/>
              <w:bottom w:val="single" w:sz="4" w:space="0" w:color="000000"/>
            </w:tcBorders>
          </w:tcPr>
          <w:p w:rsidR="006A1CDC" w:rsidRPr="00286E49" w:rsidRDefault="006A1CDC" w:rsidP="009C02E4"/>
        </w:tc>
        <w:tc>
          <w:tcPr>
            <w:tcW w:w="2799" w:type="dxa"/>
            <w:tcBorders>
              <w:top w:val="single" w:sz="4" w:space="0" w:color="000000"/>
              <w:left w:val="single" w:sz="4" w:space="0" w:color="000000"/>
              <w:bottom w:val="single" w:sz="4" w:space="0" w:color="000000"/>
            </w:tcBorders>
          </w:tcPr>
          <w:p w:rsidR="006A1CDC" w:rsidRPr="00286E49" w:rsidRDefault="006A1CDC" w:rsidP="009C02E4">
            <w:r w:rsidRPr="00286E49">
              <w:t>min.12 lat</w:t>
            </w:r>
          </w:p>
        </w:tc>
        <w:tc>
          <w:tcPr>
            <w:tcW w:w="1344"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1,5 pkt</w:t>
            </w:r>
          </w:p>
        </w:tc>
      </w:tr>
      <w:tr w:rsidR="006A1CDC" w:rsidRPr="00286E49">
        <w:trPr>
          <w:trHeight w:val="248"/>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3865" w:type="dxa"/>
            <w:gridSpan w:val="2"/>
            <w:vMerge/>
            <w:tcBorders>
              <w:top w:val="single" w:sz="4" w:space="0" w:color="000000"/>
              <w:left w:val="single" w:sz="4" w:space="0" w:color="000000"/>
              <w:bottom w:val="single" w:sz="4" w:space="0" w:color="000000"/>
            </w:tcBorders>
          </w:tcPr>
          <w:p w:rsidR="006A1CDC" w:rsidRPr="00286E49" w:rsidRDefault="006A1CDC" w:rsidP="009C02E4"/>
        </w:tc>
        <w:tc>
          <w:tcPr>
            <w:tcW w:w="2799" w:type="dxa"/>
            <w:tcBorders>
              <w:top w:val="single" w:sz="4" w:space="0" w:color="000000"/>
              <w:left w:val="single" w:sz="4" w:space="0" w:color="000000"/>
              <w:bottom w:val="single" w:sz="4" w:space="0" w:color="000000"/>
            </w:tcBorders>
          </w:tcPr>
          <w:p w:rsidR="006A1CDC" w:rsidRPr="00286E49" w:rsidRDefault="006A1CDC" w:rsidP="009C02E4">
            <w:r w:rsidRPr="00286E49">
              <w:t>min.11 lat</w:t>
            </w:r>
          </w:p>
        </w:tc>
        <w:tc>
          <w:tcPr>
            <w:tcW w:w="1344"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1 pkt</w:t>
            </w:r>
          </w:p>
        </w:tc>
      </w:tr>
      <w:tr w:rsidR="006A1CDC" w:rsidRPr="00286E49">
        <w:trPr>
          <w:trHeight w:val="248"/>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3865" w:type="dxa"/>
            <w:gridSpan w:val="2"/>
            <w:vMerge/>
            <w:tcBorders>
              <w:top w:val="single" w:sz="4" w:space="0" w:color="000000"/>
              <w:left w:val="single" w:sz="4" w:space="0" w:color="000000"/>
              <w:bottom w:val="single" w:sz="4" w:space="0" w:color="000000"/>
            </w:tcBorders>
          </w:tcPr>
          <w:p w:rsidR="006A1CDC" w:rsidRPr="00286E49" w:rsidRDefault="006A1CDC" w:rsidP="009C02E4"/>
        </w:tc>
        <w:tc>
          <w:tcPr>
            <w:tcW w:w="2799" w:type="dxa"/>
            <w:tcBorders>
              <w:top w:val="single" w:sz="4" w:space="0" w:color="000000"/>
              <w:left w:val="single" w:sz="4" w:space="0" w:color="000000"/>
              <w:bottom w:val="single" w:sz="4" w:space="0" w:color="000000"/>
            </w:tcBorders>
          </w:tcPr>
          <w:p w:rsidR="006A1CDC" w:rsidRPr="00286E49" w:rsidRDefault="006A1CDC" w:rsidP="009C02E4">
            <w:r w:rsidRPr="00286E49">
              <w:t>min.10 lat</w:t>
            </w:r>
          </w:p>
        </w:tc>
        <w:tc>
          <w:tcPr>
            <w:tcW w:w="1344" w:type="dxa"/>
            <w:gridSpan w:val="2"/>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10100" w:type="dxa"/>
            <w:gridSpan w:val="6"/>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454"/>
        </w:trPr>
        <w:tc>
          <w:tcPr>
            <w:tcW w:w="2092" w:type="dxa"/>
            <w:vMerge w:val="restart"/>
            <w:tcBorders>
              <w:top w:val="single" w:sz="4" w:space="0" w:color="000000"/>
              <w:left w:val="single" w:sz="4" w:space="0" w:color="000000"/>
            </w:tcBorders>
            <w:vAlign w:val="center"/>
          </w:tcPr>
          <w:p w:rsidR="006A1CDC" w:rsidRPr="00286E49" w:rsidRDefault="006A1CDC" w:rsidP="009C02E4">
            <w:r w:rsidRPr="00286E49">
              <w:t>Podkryterium 2 (G2)</w:t>
            </w:r>
          </w:p>
        </w:tc>
        <w:tc>
          <w:tcPr>
            <w:tcW w:w="3865" w:type="dxa"/>
            <w:gridSpan w:val="2"/>
            <w:vMerge w:val="restart"/>
            <w:tcBorders>
              <w:top w:val="single" w:sz="4" w:space="0" w:color="000000"/>
              <w:left w:val="single" w:sz="4" w:space="0" w:color="000000"/>
            </w:tcBorders>
            <w:vAlign w:val="center"/>
          </w:tcPr>
          <w:p w:rsidR="006A1CDC" w:rsidRPr="00286E49" w:rsidRDefault="006A1CDC" w:rsidP="009C02E4">
            <w:r w:rsidRPr="00286E49">
              <w:t>Gwarancja na powłoki lakiernicze, uszczelnienia okien, drzwi.</w:t>
            </w:r>
          </w:p>
          <w:p w:rsidR="006A1CDC" w:rsidRPr="00286E49" w:rsidRDefault="006A1CDC" w:rsidP="009C02E4">
            <w:r w:rsidRPr="00286E49">
              <w:t xml:space="preserve">UWAGI ! </w:t>
            </w:r>
          </w:p>
          <w:p w:rsidR="006A1CDC" w:rsidRPr="00286E49" w:rsidRDefault="006A1CDC" w:rsidP="009C02E4">
            <w:r w:rsidRPr="00286E49">
              <w:t xml:space="preserve">- okres gwarancji nie jest uzależniony od przebiegu kilometrów, </w:t>
            </w:r>
          </w:p>
          <w:p w:rsidR="006A1CDC" w:rsidRPr="00286E49" w:rsidRDefault="006A1CDC" w:rsidP="009C02E4">
            <w:r w:rsidRPr="00286E49">
              <w:t>- Zamawiający ustala, że maksymalny okres gwarancji oceniany w tym kryterium wynosi 7 lat.</w:t>
            </w:r>
          </w:p>
          <w:p w:rsidR="006A1CDC" w:rsidRPr="00286E49" w:rsidRDefault="006A1CDC" w:rsidP="009C02E4">
            <w:r w:rsidRPr="00286E49">
              <w:t>-  Zamawiający ustala, że minimalny okres gwarancji w tym kryterium nie może być mniejszy niż okres 5 lat.</w:t>
            </w:r>
          </w:p>
        </w:tc>
        <w:tc>
          <w:tcPr>
            <w:tcW w:w="4143" w:type="dxa"/>
            <w:gridSpan w:val="3"/>
            <w:tcBorders>
              <w:top w:val="single" w:sz="4" w:space="0" w:color="000000"/>
              <w:left w:val="single" w:sz="4" w:space="0" w:color="000000"/>
              <w:bottom w:val="single" w:sz="4" w:space="0" w:color="000000"/>
              <w:right w:val="single" w:sz="4" w:space="0" w:color="000000"/>
            </w:tcBorders>
          </w:tcPr>
          <w:p w:rsidR="006A1CDC" w:rsidRPr="00286E49" w:rsidRDefault="006A1CDC" w:rsidP="009C02E4">
            <w:r w:rsidRPr="00286E49">
              <w:t>Punkty zostaną przyznane wg następujących zasad:</w:t>
            </w:r>
          </w:p>
        </w:tc>
      </w:tr>
      <w:tr w:rsidR="006A1CDC" w:rsidRPr="00286E49">
        <w:trPr>
          <w:trHeight w:val="567"/>
        </w:trPr>
        <w:tc>
          <w:tcPr>
            <w:tcW w:w="2092" w:type="dxa"/>
            <w:vMerge/>
            <w:tcBorders>
              <w:left w:val="single" w:sz="4" w:space="0" w:color="000000"/>
            </w:tcBorders>
          </w:tcPr>
          <w:p w:rsidR="006A1CDC" w:rsidRPr="00286E49" w:rsidRDefault="006A1CDC" w:rsidP="009C02E4"/>
        </w:tc>
        <w:tc>
          <w:tcPr>
            <w:tcW w:w="3865" w:type="dxa"/>
            <w:gridSpan w:val="2"/>
            <w:vMerge/>
            <w:tcBorders>
              <w:left w:val="single" w:sz="4" w:space="0" w:color="000000"/>
            </w:tcBorders>
          </w:tcPr>
          <w:p w:rsidR="006A1CDC" w:rsidRPr="00286E49" w:rsidRDefault="006A1CDC" w:rsidP="009C02E4"/>
        </w:tc>
        <w:tc>
          <w:tcPr>
            <w:tcW w:w="2826" w:type="dxa"/>
            <w:gridSpan w:val="2"/>
            <w:tcBorders>
              <w:top w:val="single" w:sz="4" w:space="0" w:color="000000"/>
              <w:left w:val="single" w:sz="4" w:space="0" w:color="000000"/>
              <w:bottom w:val="single" w:sz="4" w:space="0" w:color="auto"/>
              <w:right w:val="single" w:sz="4" w:space="0" w:color="auto"/>
            </w:tcBorders>
          </w:tcPr>
          <w:p w:rsidR="006A1CDC" w:rsidRPr="00286E49" w:rsidRDefault="006A1CDC" w:rsidP="009C02E4">
            <w:r w:rsidRPr="00286E49">
              <w:t>7 lat</w:t>
            </w:r>
          </w:p>
        </w:tc>
        <w:tc>
          <w:tcPr>
            <w:tcW w:w="1317" w:type="dxa"/>
            <w:tcBorders>
              <w:top w:val="single" w:sz="4" w:space="0" w:color="000000"/>
              <w:left w:val="single" w:sz="4" w:space="0" w:color="auto"/>
              <w:bottom w:val="single" w:sz="4" w:space="0" w:color="auto"/>
              <w:right w:val="single" w:sz="4" w:space="0" w:color="000000"/>
            </w:tcBorders>
          </w:tcPr>
          <w:p w:rsidR="006A1CDC" w:rsidRPr="00286E49" w:rsidRDefault="006A1CDC" w:rsidP="009C02E4">
            <w:r w:rsidRPr="00286E49">
              <w:t>1,5 pkt</w:t>
            </w:r>
          </w:p>
        </w:tc>
      </w:tr>
      <w:tr w:rsidR="006A1CDC" w:rsidRPr="00286E49">
        <w:trPr>
          <w:trHeight w:val="567"/>
        </w:trPr>
        <w:tc>
          <w:tcPr>
            <w:tcW w:w="2092" w:type="dxa"/>
            <w:vMerge/>
            <w:tcBorders>
              <w:left w:val="single" w:sz="4" w:space="0" w:color="000000"/>
            </w:tcBorders>
          </w:tcPr>
          <w:p w:rsidR="006A1CDC" w:rsidRPr="00286E49" w:rsidRDefault="006A1CDC" w:rsidP="009C02E4"/>
        </w:tc>
        <w:tc>
          <w:tcPr>
            <w:tcW w:w="3865" w:type="dxa"/>
            <w:gridSpan w:val="2"/>
            <w:vMerge/>
            <w:tcBorders>
              <w:left w:val="single" w:sz="4" w:space="0" w:color="000000"/>
            </w:tcBorders>
          </w:tcPr>
          <w:p w:rsidR="006A1CDC" w:rsidRPr="00286E49" w:rsidRDefault="006A1CDC" w:rsidP="009C02E4"/>
        </w:tc>
        <w:tc>
          <w:tcPr>
            <w:tcW w:w="2826" w:type="dxa"/>
            <w:gridSpan w:val="2"/>
            <w:tcBorders>
              <w:top w:val="single" w:sz="4" w:space="0" w:color="auto"/>
              <w:left w:val="single" w:sz="4" w:space="0" w:color="000000"/>
              <w:bottom w:val="single" w:sz="4" w:space="0" w:color="auto"/>
              <w:right w:val="single" w:sz="4" w:space="0" w:color="auto"/>
            </w:tcBorders>
          </w:tcPr>
          <w:p w:rsidR="006A1CDC" w:rsidRPr="00286E49" w:rsidRDefault="006A1CDC" w:rsidP="009C02E4">
            <w:r w:rsidRPr="00286E49">
              <w:t>6 lat</w:t>
            </w:r>
          </w:p>
        </w:tc>
        <w:tc>
          <w:tcPr>
            <w:tcW w:w="1317" w:type="dxa"/>
            <w:tcBorders>
              <w:top w:val="single" w:sz="4" w:space="0" w:color="auto"/>
              <w:left w:val="single" w:sz="4" w:space="0" w:color="auto"/>
              <w:bottom w:val="single" w:sz="4" w:space="0" w:color="auto"/>
              <w:right w:val="single" w:sz="4" w:space="0" w:color="000000"/>
            </w:tcBorders>
          </w:tcPr>
          <w:p w:rsidR="006A1CDC" w:rsidRPr="00286E49" w:rsidRDefault="006A1CDC" w:rsidP="009C02E4">
            <w:r w:rsidRPr="00286E49">
              <w:t>1 pkt</w:t>
            </w:r>
          </w:p>
        </w:tc>
      </w:tr>
      <w:tr w:rsidR="006A1CDC" w:rsidRPr="00286E49">
        <w:trPr>
          <w:trHeight w:val="567"/>
        </w:trPr>
        <w:tc>
          <w:tcPr>
            <w:tcW w:w="2092" w:type="dxa"/>
            <w:vMerge/>
            <w:tcBorders>
              <w:left w:val="single" w:sz="4" w:space="0" w:color="000000"/>
              <w:bottom w:val="single" w:sz="4" w:space="0" w:color="000000"/>
            </w:tcBorders>
          </w:tcPr>
          <w:p w:rsidR="006A1CDC" w:rsidRPr="00286E49" w:rsidRDefault="006A1CDC" w:rsidP="009C02E4"/>
        </w:tc>
        <w:tc>
          <w:tcPr>
            <w:tcW w:w="3865" w:type="dxa"/>
            <w:gridSpan w:val="2"/>
            <w:vMerge/>
            <w:tcBorders>
              <w:left w:val="single" w:sz="4" w:space="0" w:color="000000"/>
              <w:bottom w:val="single" w:sz="4" w:space="0" w:color="000000"/>
            </w:tcBorders>
          </w:tcPr>
          <w:p w:rsidR="006A1CDC" w:rsidRPr="00286E49" w:rsidRDefault="006A1CDC" w:rsidP="009C02E4"/>
        </w:tc>
        <w:tc>
          <w:tcPr>
            <w:tcW w:w="2826" w:type="dxa"/>
            <w:gridSpan w:val="2"/>
            <w:tcBorders>
              <w:top w:val="single" w:sz="4" w:space="0" w:color="auto"/>
              <w:left w:val="single" w:sz="4" w:space="0" w:color="000000"/>
              <w:bottom w:val="single" w:sz="4" w:space="0" w:color="000000"/>
              <w:right w:val="single" w:sz="4" w:space="0" w:color="auto"/>
            </w:tcBorders>
          </w:tcPr>
          <w:p w:rsidR="006A1CDC" w:rsidRPr="00286E49" w:rsidRDefault="006A1CDC" w:rsidP="009C02E4">
            <w:r w:rsidRPr="00286E49">
              <w:t>5 lat</w:t>
            </w:r>
          </w:p>
          <w:p w:rsidR="006A1CDC" w:rsidRPr="00286E49" w:rsidRDefault="006A1CDC" w:rsidP="009C02E4"/>
        </w:tc>
        <w:tc>
          <w:tcPr>
            <w:tcW w:w="1317" w:type="dxa"/>
            <w:tcBorders>
              <w:top w:val="single" w:sz="4" w:space="0" w:color="auto"/>
              <w:left w:val="single" w:sz="4" w:space="0" w:color="auto"/>
              <w:bottom w:val="single" w:sz="4" w:space="0" w:color="000000"/>
              <w:right w:val="single" w:sz="4" w:space="0" w:color="000000"/>
            </w:tcBorders>
          </w:tcPr>
          <w:p w:rsidR="006A1CDC" w:rsidRPr="00286E49" w:rsidRDefault="006A1CDC" w:rsidP="009C02E4">
            <w:r w:rsidRPr="00286E49">
              <w:t>0 pkt</w:t>
            </w:r>
          </w:p>
        </w:tc>
      </w:tr>
      <w:tr w:rsidR="006A1CDC" w:rsidRPr="00286E49">
        <w:trPr>
          <w:trHeight w:val="284"/>
        </w:trPr>
        <w:tc>
          <w:tcPr>
            <w:tcW w:w="10100" w:type="dxa"/>
            <w:gridSpan w:val="6"/>
            <w:tcBorders>
              <w:top w:val="single" w:sz="4" w:space="0" w:color="000000"/>
              <w:left w:val="single" w:sz="4" w:space="0" w:color="000000"/>
              <w:bottom w:val="single" w:sz="4" w:space="0" w:color="000000"/>
              <w:right w:val="single" w:sz="4" w:space="0" w:color="000000"/>
            </w:tcBorders>
            <w:shd w:val="clear" w:color="auto" w:fill="EEECE1"/>
          </w:tcPr>
          <w:p w:rsidR="006A1CDC" w:rsidRPr="00286E49" w:rsidRDefault="006A1CDC" w:rsidP="009C02E4"/>
        </w:tc>
      </w:tr>
      <w:tr w:rsidR="006A1CDC" w:rsidRPr="00286E49">
        <w:trPr>
          <w:trHeight w:val="454"/>
        </w:trPr>
        <w:tc>
          <w:tcPr>
            <w:tcW w:w="2092" w:type="dxa"/>
            <w:vMerge w:val="restart"/>
            <w:tcBorders>
              <w:top w:val="single" w:sz="4" w:space="0" w:color="000000"/>
              <w:left w:val="single" w:sz="4" w:space="0" w:color="000000"/>
              <w:bottom w:val="single" w:sz="4" w:space="0" w:color="000000"/>
            </w:tcBorders>
            <w:vAlign w:val="center"/>
          </w:tcPr>
          <w:p w:rsidR="006A1CDC" w:rsidRPr="00286E49" w:rsidRDefault="006A1CDC" w:rsidP="009C02E4">
            <w:r w:rsidRPr="00286E49">
              <w:t>Podkryterium 3 (G3)</w:t>
            </w:r>
          </w:p>
        </w:tc>
        <w:tc>
          <w:tcPr>
            <w:tcW w:w="3825" w:type="dxa"/>
            <w:vMerge w:val="restart"/>
            <w:tcBorders>
              <w:top w:val="single" w:sz="4" w:space="0" w:color="000000"/>
              <w:left w:val="single" w:sz="4" w:space="0" w:color="000000"/>
              <w:bottom w:val="single" w:sz="4" w:space="0" w:color="000000"/>
              <w:right w:val="single" w:sz="4" w:space="0" w:color="auto"/>
            </w:tcBorders>
            <w:vAlign w:val="center"/>
          </w:tcPr>
          <w:p w:rsidR="006A1CDC" w:rsidRPr="00286E49" w:rsidRDefault="006A1CDC" w:rsidP="00815B30">
            <w:pPr>
              <w:ind w:left="34" w:hanging="34"/>
              <w:jc w:val="center"/>
            </w:pPr>
            <w:r w:rsidRPr="00286E49">
              <w:rPr>
                <w:sz w:val="22"/>
                <w:szCs w:val="22"/>
              </w:rPr>
              <w:t>Gwarancja na pozostałe zespoły, układy i elementy autobusu</w:t>
            </w:r>
          </w:p>
          <w:p w:rsidR="006A1CDC" w:rsidRPr="00286E49" w:rsidRDefault="006A1CDC" w:rsidP="00815B30">
            <w:pPr>
              <w:ind w:left="1418" w:hanging="1418"/>
            </w:pPr>
            <w:r w:rsidRPr="00286E49">
              <w:rPr>
                <w:sz w:val="22"/>
                <w:szCs w:val="22"/>
              </w:rPr>
              <w:t>UWAGI:</w:t>
            </w:r>
          </w:p>
          <w:p w:rsidR="006A1CDC" w:rsidRPr="00286E49" w:rsidRDefault="006A1CDC" w:rsidP="00815B30">
            <w:pPr>
              <w:jc w:val="both"/>
            </w:pPr>
            <w:r w:rsidRPr="00286E49">
              <w:rPr>
                <w:sz w:val="22"/>
                <w:szCs w:val="22"/>
              </w:rPr>
              <w:t>- okres gwarancji liczony jest w latach, jak również uzależniony jest od przebiegu każdego autobusu, począwszy od pierwszego dnia następującego po dniu, w którym dokonano odbioru autobusu.</w:t>
            </w:r>
          </w:p>
          <w:p w:rsidR="006A1CDC" w:rsidRPr="00286E49" w:rsidRDefault="006A1CDC" w:rsidP="00815B30">
            <w:pPr>
              <w:jc w:val="both"/>
            </w:pPr>
          </w:p>
          <w:p w:rsidR="006A1CDC" w:rsidRPr="00286E49" w:rsidRDefault="006A1CDC" w:rsidP="00815B30">
            <w:pPr>
              <w:ind w:left="34" w:hanging="34"/>
              <w:jc w:val="both"/>
              <w:rPr>
                <w:b/>
                <w:bCs/>
              </w:rPr>
            </w:pPr>
            <w:r w:rsidRPr="00286E49">
              <w:rPr>
                <w:sz w:val="22"/>
                <w:szCs w:val="22"/>
              </w:rPr>
              <w:t>Zamawiający ustala, że minimalny okres gwarancji w tym kryterium nie może być mniejszy niż 3 lata i ogranicza się go do  240 000 km</w:t>
            </w:r>
            <w:r w:rsidRPr="00286E49">
              <w:rPr>
                <w:b/>
                <w:bCs/>
                <w:sz w:val="22"/>
                <w:szCs w:val="22"/>
              </w:rPr>
              <w:t xml:space="preserve"> </w:t>
            </w:r>
            <w:r w:rsidRPr="00286E49">
              <w:rPr>
                <w:sz w:val="22"/>
                <w:szCs w:val="22"/>
              </w:rPr>
              <w:t>przebiegu każdego autobusu  (przy rocznym limicie 80 000 km) w zależności, który z warunków wcześniej zostanie spełniony. W przypadku wydłużenia gwarancji przez Wykonawcę, wskazany limit ulega proporcjonalnemu wydłużeniu (tj. 320 000 km przy 4 latach, 400 000 km przy 5 latach);</w:t>
            </w:r>
          </w:p>
          <w:p w:rsidR="006A1CDC" w:rsidRPr="00286E49" w:rsidRDefault="006A1CDC" w:rsidP="00815B30">
            <w:r w:rsidRPr="00286E49">
              <w:rPr>
                <w:sz w:val="22"/>
                <w:szCs w:val="22"/>
              </w:rPr>
              <w:t xml:space="preserve">- </w:t>
            </w:r>
            <w:r w:rsidRPr="00286E49">
              <w:rPr>
                <w:sz w:val="22"/>
                <w:szCs w:val="22"/>
                <w:shd w:val="clear" w:color="auto" w:fill="FFFFFF"/>
              </w:rPr>
              <w:t>powyżej 2 roku eksploatacji gwarancja na cały autobus obejmuje spełnienie przez Wykonawcę wszystkich warunków gwarancji opisanych w SIWZ za wyjątkiem pokrycia kosztów robocizny pracowników Zamawiającego, o ile prace wykonywane są u Zamawiającego. W przypadku napraw zewnętrznych – tj. dokonywanych bezpośrednio przez Wykonawcę, poza siedzibą Zamawiającego, wszelkie koszty z tym związane (w tym koszty robocizny) pozostają po stronie Wykonawcy przez cały okres gwarancji.</w:t>
            </w:r>
          </w:p>
        </w:tc>
        <w:tc>
          <w:tcPr>
            <w:tcW w:w="4183" w:type="dxa"/>
            <w:gridSpan w:val="4"/>
            <w:tcBorders>
              <w:top w:val="single" w:sz="4" w:space="0" w:color="000000"/>
              <w:left w:val="single" w:sz="4" w:space="0" w:color="auto"/>
              <w:bottom w:val="single" w:sz="4" w:space="0" w:color="auto"/>
              <w:right w:val="single" w:sz="4" w:space="0" w:color="000000"/>
            </w:tcBorders>
            <w:vAlign w:val="center"/>
          </w:tcPr>
          <w:p w:rsidR="006A1CDC" w:rsidRPr="00286E49" w:rsidRDefault="006A1CDC" w:rsidP="009C02E4">
            <w:r w:rsidRPr="00286E49">
              <w:t>Punkty zostaną przyznane wg następujących zasad:</w:t>
            </w:r>
          </w:p>
        </w:tc>
      </w:tr>
      <w:tr w:rsidR="006A1CDC" w:rsidRPr="00286E49">
        <w:trPr>
          <w:trHeight w:val="284"/>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3825" w:type="dxa"/>
            <w:vMerge/>
            <w:tcBorders>
              <w:top w:val="single" w:sz="4" w:space="0" w:color="000000"/>
              <w:left w:val="single" w:sz="4" w:space="0" w:color="000000"/>
              <w:bottom w:val="single" w:sz="4" w:space="0" w:color="000000"/>
              <w:right w:val="single" w:sz="4" w:space="0" w:color="auto"/>
            </w:tcBorders>
          </w:tcPr>
          <w:p w:rsidR="006A1CDC" w:rsidRPr="00286E49" w:rsidRDefault="006A1CDC" w:rsidP="009C02E4"/>
        </w:tc>
        <w:tc>
          <w:tcPr>
            <w:tcW w:w="2839" w:type="dxa"/>
            <w:gridSpan w:val="2"/>
            <w:tcBorders>
              <w:top w:val="single" w:sz="4" w:space="0" w:color="auto"/>
              <w:left w:val="single" w:sz="4" w:space="0" w:color="auto"/>
              <w:bottom w:val="single" w:sz="4" w:space="0" w:color="auto"/>
            </w:tcBorders>
            <w:vAlign w:val="center"/>
          </w:tcPr>
          <w:p w:rsidR="006A1CDC" w:rsidRPr="00286E49" w:rsidRDefault="006A1CDC" w:rsidP="009C02E4">
            <w:r w:rsidRPr="00286E49">
              <w:t>min. 5 lat</w:t>
            </w:r>
          </w:p>
        </w:tc>
        <w:tc>
          <w:tcPr>
            <w:tcW w:w="1344" w:type="dxa"/>
            <w:gridSpan w:val="2"/>
            <w:tcBorders>
              <w:top w:val="single" w:sz="4" w:space="0" w:color="auto"/>
              <w:left w:val="single" w:sz="4" w:space="0" w:color="auto"/>
              <w:bottom w:val="single" w:sz="4" w:space="0" w:color="auto"/>
              <w:right w:val="single" w:sz="4" w:space="0" w:color="000000"/>
            </w:tcBorders>
            <w:vAlign w:val="center"/>
          </w:tcPr>
          <w:p w:rsidR="006A1CDC" w:rsidRPr="00286E49" w:rsidRDefault="006A1CDC" w:rsidP="009C02E4">
            <w:r w:rsidRPr="00286E49">
              <w:t>2 pkt</w:t>
            </w:r>
          </w:p>
        </w:tc>
      </w:tr>
      <w:tr w:rsidR="006A1CDC" w:rsidRPr="00286E49">
        <w:trPr>
          <w:trHeight w:val="284"/>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3825" w:type="dxa"/>
            <w:vMerge/>
            <w:tcBorders>
              <w:top w:val="single" w:sz="4" w:space="0" w:color="000000"/>
              <w:left w:val="single" w:sz="4" w:space="0" w:color="000000"/>
              <w:bottom w:val="single" w:sz="4" w:space="0" w:color="000000"/>
              <w:right w:val="single" w:sz="4" w:space="0" w:color="auto"/>
            </w:tcBorders>
          </w:tcPr>
          <w:p w:rsidR="006A1CDC" w:rsidRPr="00286E49" w:rsidRDefault="006A1CDC" w:rsidP="009C02E4"/>
        </w:tc>
        <w:tc>
          <w:tcPr>
            <w:tcW w:w="2839" w:type="dxa"/>
            <w:gridSpan w:val="2"/>
            <w:tcBorders>
              <w:top w:val="single" w:sz="4" w:space="0" w:color="000000"/>
              <w:left w:val="single" w:sz="4" w:space="0" w:color="auto"/>
              <w:bottom w:val="single" w:sz="4" w:space="0" w:color="auto"/>
            </w:tcBorders>
            <w:vAlign w:val="center"/>
          </w:tcPr>
          <w:p w:rsidR="006A1CDC" w:rsidRPr="00286E49" w:rsidRDefault="006A1CDC" w:rsidP="009C02E4">
            <w:r w:rsidRPr="00286E49">
              <w:t>min. 4 lata</w:t>
            </w:r>
          </w:p>
        </w:tc>
        <w:tc>
          <w:tcPr>
            <w:tcW w:w="1344" w:type="dxa"/>
            <w:gridSpan w:val="2"/>
            <w:tcBorders>
              <w:top w:val="single" w:sz="4" w:space="0" w:color="000000"/>
              <w:left w:val="single" w:sz="4" w:space="0" w:color="auto"/>
              <w:bottom w:val="single" w:sz="4" w:space="0" w:color="auto"/>
              <w:right w:val="single" w:sz="4" w:space="0" w:color="000000"/>
            </w:tcBorders>
            <w:vAlign w:val="center"/>
          </w:tcPr>
          <w:p w:rsidR="006A1CDC" w:rsidRPr="00286E49" w:rsidRDefault="006A1CDC" w:rsidP="009C02E4">
            <w:r w:rsidRPr="00286E49">
              <w:t>1 pkt</w:t>
            </w:r>
          </w:p>
        </w:tc>
      </w:tr>
      <w:tr w:rsidR="006A1CDC" w:rsidRPr="00286E49">
        <w:trPr>
          <w:trHeight w:val="284"/>
        </w:trPr>
        <w:tc>
          <w:tcPr>
            <w:tcW w:w="2092" w:type="dxa"/>
            <w:vMerge/>
            <w:tcBorders>
              <w:top w:val="single" w:sz="4" w:space="0" w:color="000000"/>
              <w:left w:val="single" w:sz="4" w:space="0" w:color="000000"/>
              <w:bottom w:val="single" w:sz="4" w:space="0" w:color="000000"/>
            </w:tcBorders>
          </w:tcPr>
          <w:p w:rsidR="006A1CDC" w:rsidRPr="00286E49" w:rsidRDefault="006A1CDC" w:rsidP="009C02E4"/>
        </w:tc>
        <w:tc>
          <w:tcPr>
            <w:tcW w:w="3825" w:type="dxa"/>
            <w:vMerge/>
            <w:tcBorders>
              <w:top w:val="single" w:sz="4" w:space="0" w:color="000000"/>
              <w:left w:val="single" w:sz="4" w:space="0" w:color="000000"/>
              <w:bottom w:val="single" w:sz="4" w:space="0" w:color="000000"/>
              <w:right w:val="single" w:sz="4" w:space="0" w:color="auto"/>
            </w:tcBorders>
          </w:tcPr>
          <w:p w:rsidR="006A1CDC" w:rsidRPr="00286E49" w:rsidRDefault="006A1CDC" w:rsidP="009C02E4"/>
        </w:tc>
        <w:tc>
          <w:tcPr>
            <w:tcW w:w="2839" w:type="dxa"/>
            <w:gridSpan w:val="2"/>
            <w:tcBorders>
              <w:top w:val="single" w:sz="4" w:space="0" w:color="auto"/>
              <w:left w:val="single" w:sz="4" w:space="0" w:color="auto"/>
              <w:bottom w:val="single" w:sz="4" w:space="0" w:color="000000"/>
            </w:tcBorders>
            <w:vAlign w:val="center"/>
          </w:tcPr>
          <w:p w:rsidR="006A1CDC" w:rsidRPr="00286E49" w:rsidRDefault="006A1CDC" w:rsidP="009C02E4">
            <w:r w:rsidRPr="00286E49">
              <w:t>min. 3 lata</w:t>
            </w:r>
          </w:p>
        </w:tc>
        <w:tc>
          <w:tcPr>
            <w:tcW w:w="1344" w:type="dxa"/>
            <w:gridSpan w:val="2"/>
            <w:tcBorders>
              <w:top w:val="single" w:sz="4" w:space="0" w:color="auto"/>
              <w:left w:val="single" w:sz="4" w:space="0" w:color="auto"/>
              <w:bottom w:val="single" w:sz="4" w:space="0" w:color="000000"/>
              <w:right w:val="single" w:sz="4" w:space="0" w:color="000000"/>
            </w:tcBorders>
            <w:vAlign w:val="center"/>
          </w:tcPr>
          <w:p w:rsidR="006A1CDC" w:rsidRPr="00286E49" w:rsidRDefault="006A1CDC" w:rsidP="009C02E4">
            <w:r w:rsidRPr="00286E49">
              <w:t>0 pkt</w:t>
            </w:r>
          </w:p>
        </w:tc>
      </w:tr>
    </w:tbl>
    <w:p w:rsidR="006A1CDC" w:rsidRPr="00286E49" w:rsidRDefault="006A1CDC" w:rsidP="009C02E4"/>
    <w:p w:rsidR="006A1CDC" w:rsidRPr="00286E49" w:rsidRDefault="006A1CDC" w:rsidP="009C02E4">
      <w:r w:rsidRPr="00286E49">
        <w:t>Punktacja ofert dokonana będzie według następujących zasad.</w:t>
      </w:r>
    </w:p>
    <w:p w:rsidR="006A1CDC" w:rsidRPr="00286E49" w:rsidRDefault="006A1CDC" w:rsidP="009C02E4"/>
    <w:p w:rsidR="006A1CDC" w:rsidRPr="00286E49" w:rsidRDefault="006A1CDC" w:rsidP="009C02E4"/>
    <w:p w:rsidR="006A1CDC" w:rsidRPr="00286E49" w:rsidRDefault="006A1CDC" w:rsidP="009C02E4">
      <w:r w:rsidRPr="00286E49">
        <w:t>KRYTERIUM 1 (C)  cena brutto: 60%</w:t>
      </w:r>
    </w:p>
    <w:p w:rsidR="006A1CDC" w:rsidRPr="00286E49" w:rsidRDefault="006A1CDC" w:rsidP="009C02E4">
      <w:r w:rsidRPr="00286E49">
        <w:t>Znaczenie kryterium 60 %.</w:t>
      </w:r>
    </w:p>
    <w:p w:rsidR="006A1CDC" w:rsidRPr="00286E49" w:rsidRDefault="006A1CDC" w:rsidP="009C02E4">
      <w:r w:rsidRPr="00286E49">
        <w:t xml:space="preserve">                                                          Cena najniższa z badanych</w:t>
      </w:r>
    </w:p>
    <w:p w:rsidR="006A1CDC" w:rsidRPr="00286E49" w:rsidRDefault="006A1CDC" w:rsidP="009C02E4">
      <w:r w:rsidRPr="00286E49">
        <w:t>Ilość punktów „Co”= -------------------------------------------------------------------------x  60</w:t>
      </w:r>
    </w:p>
    <w:p w:rsidR="006A1CDC" w:rsidRPr="00286E49" w:rsidRDefault="006A1CDC" w:rsidP="009C02E4">
      <w:r w:rsidRPr="00286E49">
        <w:t xml:space="preserve">                                                          Cena badanej oferty brutto</w:t>
      </w:r>
    </w:p>
    <w:p w:rsidR="006A1CDC" w:rsidRPr="00286E49" w:rsidRDefault="006A1CDC" w:rsidP="009C02E4"/>
    <w:p w:rsidR="006A1CDC" w:rsidRPr="00286E49" w:rsidRDefault="006A1CDC" w:rsidP="00B40719">
      <w:pPr>
        <w:jc w:val="both"/>
      </w:pPr>
      <w:r w:rsidRPr="00286E49">
        <w:t>Zamawiający przyzna punkty ofercie badanej w kryterium CENA OFERTY stosując działanie zgodnie z powyższym wzorem.</w:t>
      </w:r>
    </w:p>
    <w:p w:rsidR="006A1CDC" w:rsidRPr="00286E49" w:rsidRDefault="006A1CDC" w:rsidP="00B40719">
      <w:pPr>
        <w:jc w:val="both"/>
      </w:pPr>
      <w:r w:rsidRPr="00286E49">
        <w:t>Maksymalna przyznana liczba punktów w tym kryterium nie przekroczy 60.</w:t>
      </w:r>
    </w:p>
    <w:p w:rsidR="006A1CDC" w:rsidRPr="00286E49" w:rsidRDefault="006A1CDC" w:rsidP="00B40719">
      <w:pPr>
        <w:jc w:val="both"/>
      </w:pPr>
    </w:p>
    <w:p w:rsidR="006A1CDC" w:rsidRPr="00286E49" w:rsidRDefault="006A1CDC" w:rsidP="00B40719">
      <w:pPr>
        <w:jc w:val="both"/>
      </w:pPr>
      <w:r w:rsidRPr="00286E49">
        <w:t> KRYTERIUM 2 (T) Parametry techniczno – eksploatacyjne: 30% (dla MAXI), 35% (dla MINI)</w:t>
      </w:r>
    </w:p>
    <w:p w:rsidR="006A1CDC" w:rsidRPr="00286E49" w:rsidRDefault="006A1CDC" w:rsidP="00B40719">
      <w:pPr>
        <w:jc w:val="both"/>
      </w:pPr>
      <w:r w:rsidRPr="00286E49">
        <w:tab/>
        <w:t>Wzór jakim Zamawiający będzie się kierował przy przyznawaniu punktacji:</w:t>
      </w:r>
    </w:p>
    <w:p w:rsidR="006A1CDC" w:rsidRPr="00286E49" w:rsidRDefault="006A1CDC" w:rsidP="00B40719">
      <w:pPr>
        <w:jc w:val="both"/>
      </w:pPr>
      <w:r w:rsidRPr="00286E49">
        <w:tab/>
        <w:t>T=T1+T2+T3+T4+T5+T6 (dla autobusów „MAXI”- dwunastometrowych)</w:t>
      </w:r>
    </w:p>
    <w:p w:rsidR="006A1CDC" w:rsidRPr="00286E49" w:rsidRDefault="006A1CDC" w:rsidP="00B40719">
      <w:pPr>
        <w:jc w:val="both"/>
      </w:pPr>
      <w:r w:rsidRPr="00286E49">
        <w:tab/>
        <w:t>T=T1+T2+T3+T4+T5 (dla autobusów „MINI”- ośmiometrowych)</w:t>
      </w:r>
    </w:p>
    <w:p w:rsidR="006A1CDC" w:rsidRPr="00286E49" w:rsidRDefault="006A1CDC" w:rsidP="00B40719">
      <w:pPr>
        <w:jc w:val="both"/>
      </w:pPr>
      <w:r w:rsidRPr="00286E49">
        <w:tab/>
        <w:t>Zamawiający na podstawie przedłożonej oferty dokona analizy poszczególnych składowych oferowanych parametrów przyznając odpowiednią ilość  punktów zgodnie z regułą zawartą w tabelach powyżej.</w:t>
      </w:r>
    </w:p>
    <w:p w:rsidR="006A1CDC" w:rsidRPr="00286E49" w:rsidRDefault="006A1CDC" w:rsidP="00B40719">
      <w:pPr>
        <w:jc w:val="both"/>
      </w:pPr>
      <w:r w:rsidRPr="00286E49">
        <w:t>Maksymalna przyznana liczba punktów w tym kryterium nie przekroczy 30 (dla MAXI), 35 (dla MINI).</w:t>
      </w:r>
    </w:p>
    <w:p w:rsidR="006A1CDC" w:rsidRPr="00286E49" w:rsidRDefault="006A1CDC" w:rsidP="00B40719">
      <w:pPr>
        <w:jc w:val="both"/>
      </w:pPr>
    </w:p>
    <w:p w:rsidR="006A1CDC" w:rsidRPr="00286E49" w:rsidRDefault="006A1CDC" w:rsidP="00B40719">
      <w:pPr>
        <w:jc w:val="both"/>
      </w:pPr>
      <w:r w:rsidRPr="00286E49">
        <w:t>KRYTERIUM 3 (G) Gwarancja: 10% (dla MAXI) 5% (dla MINI)</w:t>
      </w:r>
    </w:p>
    <w:p w:rsidR="006A1CDC" w:rsidRPr="00286E49" w:rsidRDefault="006A1CDC" w:rsidP="00B40719">
      <w:pPr>
        <w:jc w:val="both"/>
      </w:pPr>
      <w:r w:rsidRPr="00286E49">
        <w:t>Wzór jakim Zamawiający będzie się kierował przy przyznawaniu punktacji:</w:t>
      </w:r>
    </w:p>
    <w:p w:rsidR="006A1CDC" w:rsidRPr="00286E49" w:rsidRDefault="006A1CDC" w:rsidP="00B40719">
      <w:pPr>
        <w:jc w:val="both"/>
      </w:pPr>
      <w:r w:rsidRPr="00286E49">
        <w:t>G=G1+G2+G3</w:t>
      </w:r>
    </w:p>
    <w:p w:rsidR="006A1CDC" w:rsidRPr="00286E49" w:rsidRDefault="006A1CDC" w:rsidP="00B40719">
      <w:pPr>
        <w:jc w:val="both"/>
      </w:pPr>
      <w:r w:rsidRPr="00286E49">
        <w:t>Zamawiający na podstawie przedłożonej oferty dokona analizy poszczególnych składowych oferowanych terminów gwarancji przyznając odpowiednią ilość  punktów zgodnie z regułą zawartą w tabelach powyżej.</w:t>
      </w:r>
    </w:p>
    <w:p w:rsidR="006A1CDC" w:rsidRPr="00286E49" w:rsidRDefault="006A1CDC" w:rsidP="00B40719">
      <w:pPr>
        <w:jc w:val="both"/>
      </w:pPr>
      <w:r w:rsidRPr="00286E49">
        <w:t>Maksymalna przyznana liczba punktów w tym kryterium nie przekroczy 10 (dla MAXI) 5 (dla MINI).</w:t>
      </w:r>
    </w:p>
    <w:p w:rsidR="006A1CDC" w:rsidRPr="00286E49" w:rsidRDefault="006A1CDC" w:rsidP="009C02E4"/>
    <w:p w:rsidR="006A1CDC" w:rsidRPr="00286E49" w:rsidRDefault="006A1CDC" w:rsidP="009C02E4">
      <w:r w:rsidRPr="00286E49">
        <w:t>Każdy z wykonawców składających ofertę, otrzyma na podstawie przedłożonej oferty i dokonanych przeliczeń odpowiednią ilość punktów za poszczególne kryteria. Zamawiający na podstawie obliczeń przyzna ostateczną liczbę punktów poszczególnym wykonawcom wg następującego wzoru:</w:t>
      </w:r>
    </w:p>
    <w:p w:rsidR="006A1CDC" w:rsidRPr="00286E49" w:rsidRDefault="006A1CDC" w:rsidP="009C02E4"/>
    <w:p w:rsidR="006A1CDC" w:rsidRPr="00286E49" w:rsidRDefault="006A1CDC" w:rsidP="009C02E4">
      <w:r w:rsidRPr="00286E49">
        <w:t>P = C+T+G</w:t>
      </w:r>
    </w:p>
    <w:p w:rsidR="006A1CDC" w:rsidRPr="00286E49" w:rsidRDefault="006A1CDC" w:rsidP="009C02E4"/>
    <w:p w:rsidR="006A1CDC" w:rsidRPr="00286E49" w:rsidRDefault="006A1CDC" w:rsidP="009C02E4">
      <w:r w:rsidRPr="00286E49">
        <w:tab/>
      </w:r>
      <w:r w:rsidRPr="00286E49">
        <w:tab/>
      </w:r>
      <w:r w:rsidRPr="00286E49">
        <w:tab/>
      </w:r>
      <w:r w:rsidRPr="00286E49">
        <w:tab/>
      </w:r>
      <w:r w:rsidRPr="00286E49">
        <w:tab/>
        <w:t>gdzie:</w:t>
      </w:r>
    </w:p>
    <w:p w:rsidR="006A1CDC" w:rsidRPr="00286E49" w:rsidRDefault="006A1CDC" w:rsidP="009C02E4"/>
    <w:p w:rsidR="006A1CDC" w:rsidRPr="00286E49" w:rsidRDefault="006A1CDC" w:rsidP="009C02E4">
      <w:r w:rsidRPr="00286E49">
        <w:tab/>
      </w:r>
      <w:r w:rsidRPr="00286E49">
        <w:tab/>
      </w:r>
      <w:r w:rsidRPr="00286E49">
        <w:tab/>
      </w:r>
      <w:r w:rsidRPr="00286E49">
        <w:tab/>
        <w:t>P</w:t>
      </w:r>
      <w:r w:rsidRPr="00286E49">
        <w:tab/>
        <w:t>–   PUNKTACJA OFERTY</w:t>
      </w:r>
    </w:p>
    <w:p w:rsidR="006A1CDC" w:rsidRPr="00286E49" w:rsidRDefault="006A1CDC" w:rsidP="009C02E4">
      <w:r w:rsidRPr="00286E49">
        <w:tab/>
      </w:r>
      <w:r w:rsidRPr="00286E49">
        <w:tab/>
      </w:r>
      <w:r w:rsidRPr="00286E49">
        <w:tab/>
      </w:r>
      <w:r w:rsidRPr="00286E49">
        <w:tab/>
        <w:t xml:space="preserve">C </w:t>
      </w:r>
      <w:r w:rsidRPr="00286E49">
        <w:tab/>
        <w:t>–   CENA OFERTY</w:t>
      </w:r>
    </w:p>
    <w:p w:rsidR="006A1CDC" w:rsidRPr="00286E49" w:rsidRDefault="006A1CDC" w:rsidP="009C02E4">
      <w:r w:rsidRPr="00286E49">
        <w:tab/>
      </w:r>
      <w:r w:rsidRPr="00286E49">
        <w:tab/>
      </w:r>
      <w:r w:rsidRPr="00286E49">
        <w:tab/>
      </w:r>
      <w:r w:rsidRPr="00286E49">
        <w:tab/>
        <w:t>T</w:t>
      </w:r>
      <w:r w:rsidRPr="00286E49">
        <w:tab/>
        <w:t>–   PARAMETRY TECHNICZNO EKPLOATACYJNE</w:t>
      </w:r>
    </w:p>
    <w:p w:rsidR="006A1CDC" w:rsidRPr="00286E49" w:rsidRDefault="006A1CDC" w:rsidP="009C02E4">
      <w:r w:rsidRPr="00286E49">
        <w:tab/>
      </w:r>
      <w:r w:rsidRPr="00286E49">
        <w:tab/>
      </w:r>
      <w:r w:rsidRPr="00286E49">
        <w:tab/>
      </w:r>
      <w:r w:rsidRPr="00286E49">
        <w:tab/>
        <w:t>G</w:t>
      </w:r>
      <w:r w:rsidRPr="00286E49">
        <w:tab/>
        <w:t>–   GWARANCJE</w:t>
      </w:r>
    </w:p>
    <w:p w:rsidR="006A1CDC" w:rsidRPr="00286E49" w:rsidRDefault="006A1CDC" w:rsidP="009C02E4"/>
    <w:p w:rsidR="006A1CDC" w:rsidRPr="00286E49" w:rsidRDefault="006A1CDC" w:rsidP="009C02E4">
      <w:r w:rsidRPr="00286E49">
        <w:t>Oferta, która otrzyma największą, łączną ilość punktów uznana zostanie za najkorzystniejszą.</w:t>
      </w:r>
    </w:p>
    <w:p w:rsidR="006A1CDC" w:rsidRPr="00286E49" w:rsidRDefault="006A1CDC" w:rsidP="009C02E4">
      <w:r w:rsidRPr="00286E49">
        <w:t>Zamawiający porówna jedynie te oferty, które:</w:t>
      </w:r>
    </w:p>
    <w:p w:rsidR="006A1CDC" w:rsidRPr="00286E49" w:rsidRDefault="006A1CDC" w:rsidP="009C02E4">
      <w:r w:rsidRPr="00286E49">
        <w:tab/>
      </w:r>
      <w:r w:rsidRPr="00286E49">
        <w:tab/>
        <w:t>-</w:t>
      </w:r>
      <w:r w:rsidRPr="00286E49">
        <w:tab/>
        <w:t>zostaną złożone przez wykonawców, którzy nie podlegają wykluczeniu z postępowania,</w:t>
      </w:r>
    </w:p>
    <w:p w:rsidR="006A1CDC" w:rsidRPr="00286E49" w:rsidRDefault="006A1CDC" w:rsidP="009C02E4">
      <w:r w:rsidRPr="00286E49">
        <w:tab/>
      </w:r>
      <w:r w:rsidRPr="00286E49">
        <w:tab/>
        <w:t>-</w:t>
      </w:r>
      <w:r w:rsidRPr="00286E49">
        <w:tab/>
        <w:t>nie zostaną odrzucone przez zamawiającego,</w:t>
      </w:r>
    </w:p>
    <w:p w:rsidR="006A1CDC" w:rsidRPr="00286E49" w:rsidRDefault="006A1CDC" w:rsidP="009C02E4"/>
    <w:p w:rsidR="006A1CDC" w:rsidRPr="00286E49" w:rsidRDefault="006A1CDC" w:rsidP="009C02E4">
      <w:pPr>
        <w:rPr>
          <w:b/>
          <w:bCs/>
        </w:rPr>
      </w:pPr>
      <w:r w:rsidRPr="00286E49">
        <w:rPr>
          <w:b/>
          <w:bCs/>
        </w:rPr>
        <w:t>Rozdział 23</w:t>
      </w:r>
    </w:p>
    <w:p w:rsidR="006A1CDC" w:rsidRPr="00286E49" w:rsidRDefault="006A1CDC" w:rsidP="009C02E4">
      <w:pPr>
        <w:rPr>
          <w:b/>
          <w:bCs/>
        </w:rPr>
      </w:pPr>
      <w:r w:rsidRPr="00286E49">
        <w:rPr>
          <w:b/>
          <w:bCs/>
        </w:rPr>
        <w:t>Sposób oceny ofert (procedura odwrócona)</w:t>
      </w:r>
    </w:p>
    <w:p w:rsidR="006A1CDC" w:rsidRPr="00286E49" w:rsidRDefault="006A1CDC" w:rsidP="009C02E4"/>
    <w:p w:rsidR="006A1CDC" w:rsidRPr="00286E49" w:rsidRDefault="006A1CDC" w:rsidP="00551870">
      <w:pPr>
        <w:numPr>
          <w:ilvl w:val="0"/>
          <w:numId w:val="22"/>
        </w:numPr>
        <w:jc w:val="both"/>
      </w:pPr>
      <w:r w:rsidRPr="00286E49">
        <w:t>Ocena sposobu spełniania przez wykonawców warunków udziału w postępowaniu, opisanych przez zamawiającego w specyfikacji, dokonywana będzie na podstawie przedłożonego jednolitego dokumentu (JEDZ).</w:t>
      </w:r>
    </w:p>
    <w:p w:rsidR="006A1CDC" w:rsidRPr="00286E49" w:rsidRDefault="006A1CDC" w:rsidP="00B40719">
      <w:pPr>
        <w:numPr>
          <w:ilvl w:val="0"/>
          <w:numId w:val="22"/>
        </w:numPr>
        <w:jc w:val="both"/>
      </w:pPr>
      <w:r w:rsidRPr="00286E49">
        <w:t>Zamawiający, najpierw dokona oceny ofert, a następnie zbada, czy wykonawca, którego oferta została oceniona jako najkorzystniejsza, nie podlega wykluczeniu oraz spełnia warunki udziału w postępowaniu. Czynności, o których mowa w niniejszym ustępie wynikają z art. 24 aa Pzp. Wobec powyższego zamawiający w toku czynności oceny ofert nie dokonuje podmiotowej oceny wszystkich wykonawców (ocena spełniania warunków udziału w postępowaniu, braku podstaw do wykluczenia), nie badając nawet wszystkich wstępnych oświadczeń wykonawców, składanych  w szczególności w formie jednolitego europejskiego dokumentu zamówienia. W pierwszej kolejności dokona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6A1CDC" w:rsidRPr="00286E49" w:rsidRDefault="006A1CDC" w:rsidP="00B40719">
      <w:pPr>
        <w:numPr>
          <w:ilvl w:val="0"/>
          <w:numId w:val="22"/>
        </w:numPr>
        <w:jc w:val="both"/>
      </w:pPr>
      <w:r w:rsidRPr="00286E49">
        <w:t>Jeżeli wykonawca, o którym mowa w ust. 2 niniejszego rozdziału,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A1CDC" w:rsidRPr="00286E49" w:rsidRDefault="006A1CDC" w:rsidP="00B40719">
      <w:pPr>
        <w:numPr>
          <w:ilvl w:val="0"/>
          <w:numId w:val="22"/>
        </w:numPr>
        <w:jc w:val="both"/>
      </w:pPr>
      <w:r w:rsidRPr="00286E49">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CDC" w:rsidRPr="00286E49" w:rsidRDefault="006A1CDC" w:rsidP="00B40719">
      <w:pPr>
        <w:numPr>
          <w:ilvl w:val="0"/>
          <w:numId w:val="22"/>
        </w:numPr>
        <w:jc w:val="both"/>
      </w:pPr>
      <w:r w:rsidRPr="00286E49">
        <w:t>Zamawiający wzywa także, w wyznaczonym przez siebie terminie, do złożenia wyjaśnień dotyczących oświadczeń lub dokumentów, o których mowa w art. 25 ust. 1.</w:t>
      </w:r>
    </w:p>
    <w:p w:rsidR="006A1CDC" w:rsidRPr="00286E49" w:rsidRDefault="006A1CDC" w:rsidP="00B40719">
      <w:pPr>
        <w:numPr>
          <w:ilvl w:val="0"/>
          <w:numId w:val="22"/>
        </w:numPr>
        <w:jc w:val="both"/>
      </w:pPr>
      <w:r w:rsidRPr="00286E49">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A1CDC" w:rsidRPr="00286E49" w:rsidRDefault="006A1CDC" w:rsidP="00B40719">
      <w:pPr>
        <w:numPr>
          <w:ilvl w:val="0"/>
          <w:numId w:val="22"/>
        </w:numPr>
        <w:jc w:val="both"/>
      </w:pPr>
      <w:r w:rsidRPr="00286E49">
        <w:t>W przypadku powzięcia wątpliwości, w toku badania i oceny ofert, zamawiający może żądać także od wykonawców wyjaśnień dotyczących treści złożonych ofert.</w:t>
      </w:r>
    </w:p>
    <w:p w:rsidR="006A1CDC" w:rsidRPr="00286E49" w:rsidRDefault="006A1CDC" w:rsidP="004D55D2">
      <w:pPr>
        <w:numPr>
          <w:ilvl w:val="0"/>
          <w:numId w:val="22"/>
        </w:numPr>
        <w:jc w:val="both"/>
      </w:pPr>
      <w:r w:rsidRPr="00286E49">
        <w:t xml:space="preserve"> Zamawiający zgodnie z art. 87 ust. 2 ustawy Pzp poprawi w ofercie omyłki pisarskie, rachunkowe lub inne polegające na niezgodności oferty z SIWZ, niepowodujące istotnych zmian w treści oferty, zawiadamiając o tym niezwłocznie wykonawcę, którego oferta została poprawiona.</w:t>
      </w:r>
    </w:p>
    <w:p w:rsidR="006A1CDC" w:rsidRPr="00286E49" w:rsidRDefault="006A1CDC" w:rsidP="00B40719">
      <w:pPr>
        <w:numPr>
          <w:ilvl w:val="0"/>
          <w:numId w:val="22"/>
        </w:numPr>
        <w:jc w:val="both"/>
      </w:pPr>
      <w:r w:rsidRPr="00286E49">
        <w:t>Jako najkorzystniejsza zostanie uznana oferta  która przedstawia najkorzystniejszy bilans ceny i innych kryteriów odnoszących się do przedmiotu zamówienia publicznego.</w:t>
      </w:r>
    </w:p>
    <w:p w:rsidR="006A1CDC" w:rsidRPr="00286E49" w:rsidRDefault="006A1CDC" w:rsidP="00B40719">
      <w:pPr>
        <w:jc w:val="both"/>
      </w:pPr>
    </w:p>
    <w:p w:rsidR="006A1CDC" w:rsidRPr="00286E49" w:rsidRDefault="006A1CDC" w:rsidP="00B40719">
      <w:pPr>
        <w:jc w:val="both"/>
        <w:rPr>
          <w:b/>
          <w:bCs/>
        </w:rPr>
      </w:pPr>
      <w:r w:rsidRPr="00286E49">
        <w:rPr>
          <w:b/>
          <w:bCs/>
        </w:rPr>
        <w:t>Rozdział 24</w:t>
      </w:r>
    </w:p>
    <w:p w:rsidR="006A1CDC" w:rsidRPr="00286E49" w:rsidRDefault="006A1CDC" w:rsidP="00B40719">
      <w:pPr>
        <w:jc w:val="both"/>
        <w:rPr>
          <w:b/>
          <w:bCs/>
        </w:rPr>
      </w:pPr>
      <w:r w:rsidRPr="00286E49">
        <w:rPr>
          <w:b/>
          <w:bCs/>
        </w:rPr>
        <w:t>Zawarcie umowy w sprawie zamówienia publicznego</w:t>
      </w:r>
    </w:p>
    <w:p w:rsidR="006A1CDC" w:rsidRPr="00286E49" w:rsidRDefault="006A1CDC" w:rsidP="00B40719">
      <w:pPr>
        <w:jc w:val="both"/>
      </w:pPr>
    </w:p>
    <w:p w:rsidR="006A1CDC" w:rsidRPr="00286E49" w:rsidRDefault="006A1CDC" w:rsidP="004D55D2">
      <w:pPr>
        <w:numPr>
          <w:ilvl w:val="0"/>
          <w:numId w:val="24"/>
        </w:numPr>
        <w:jc w:val="both"/>
      </w:pPr>
      <w:r w:rsidRPr="00286E49">
        <w:t>Zamawiający zawrze umowę w sprawie zamówienia publicznego w terminie  nie krótszym niż 10 dni od dnia przesłania zawiadomienia o wyborze najkorzystniejszej oferty, jeżeli zawiadomienie to zostało przesłane przy użyciu środków komunikacji elektronicznej.</w:t>
      </w:r>
    </w:p>
    <w:p w:rsidR="006A1CDC" w:rsidRPr="00286E49" w:rsidRDefault="006A1CDC" w:rsidP="00B40719">
      <w:pPr>
        <w:numPr>
          <w:ilvl w:val="0"/>
          <w:numId w:val="24"/>
        </w:numPr>
        <w:jc w:val="both"/>
      </w:pPr>
      <w:r w:rsidRPr="00286E49">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6A1CDC" w:rsidRPr="00286E49" w:rsidRDefault="006A1CDC" w:rsidP="00B40719">
      <w:pPr>
        <w:numPr>
          <w:ilvl w:val="0"/>
          <w:numId w:val="24"/>
        </w:numPr>
        <w:jc w:val="both"/>
      </w:pPr>
      <w:r w:rsidRPr="00286E49">
        <w:t>Zamawiający nie później niż w terminie 30 dni od dnia zawarcia umowy w sprawie zamówienia publicznego przekaże  ogłoszenie o udzieleniu zamówienia Urzędowi Publikacji Unii Europejskiej.</w:t>
      </w:r>
    </w:p>
    <w:p w:rsidR="006A1CDC" w:rsidRPr="00286E49" w:rsidRDefault="006A1CDC" w:rsidP="009C02E4"/>
    <w:p w:rsidR="006A1CDC" w:rsidRPr="00286E49" w:rsidRDefault="006A1CDC" w:rsidP="009C02E4">
      <w:pPr>
        <w:rPr>
          <w:b/>
          <w:bCs/>
        </w:rPr>
      </w:pPr>
      <w:r w:rsidRPr="00286E49">
        <w:rPr>
          <w:b/>
          <w:bCs/>
        </w:rPr>
        <w:t>Rozdział  25</w:t>
      </w:r>
    </w:p>
    <w:p w:rsidR="006A1CDC" w:rsidRPr="00286E49" w:rsidRDefault="006A1CDC" w:rsidP="009C02E4">
      <w:pPr>
        <w:rPr>
          <w:b/>
          <w:bCs/>
        </w:rPr>
      </w:pPr>
      <w:r w:rsidRPr="00286E49">
        <w:rPr>
          <w:b/>
          <w:bCs/>
        </w:rPr>
        <w:t>Środki ochrony prawnej</w:t>
      </w:r>
    </w:p>
    <w:p w:rsidR="006A1CDC" w:rsidRPr="00286E49" w:rsidRDefault="006A1CDC" w:rsidP="009C02E4"/>
    <w:p w:rsidR="006A1CDC" w:rsidRPr="00286E49" w:rsidRDefault="006A1CDC" w:rsidP="004D55D2">
      <w:pPr>
        <w:numPr>
          <w:ilvl w:val="0"/>
          <w:numId w:val="25"/>
        </w:numPr>
        <w:jc w:val="both"/>
      </w:pPr>
      <w:r w:rsidRPr="00286E49">
        <w:t>Środki ochrony prawnej przysługują wykonawcy oraz innemu podmiotowi, jeżeli ma lub miał interes w uzyskaniu danego zamówienia oraz poniósł lub może ponieść szkodę w wyniku naruszenia przez zamawiającego przepisów ustawy Pzp.</w:t>
      </w:r>
    </w:p>
    <w:p w:rsidR="006A1CDC" w:rsidRPr="00286E49" w:rsidRDefault="006A1CDC" w:rsidP="00B40719">
      <w:pPr>
        <w:numPr>
          <w:ilvl w:val="0"/>
          <w:numId w:val="25"/>
        </w:numPr>
        <w:jc w:val="both"/>
      </w:pPr>
      <w:r w:rsidRPr="00286E49">
        <w:t>Środki ochrony prawnej wobec ogłoszenia o zamówieniu oraz specyfikacji istotnych warunków zamówienia przysługują również organizacjom wpisanym na listę, o której mowa w art. 154 pkt 5.</w:t>
      </w:r>
    </w:p>
    <w:p w:rsidR="006A1CDC" w:rsidRPr="00286E49" w:rsidRDefault="006A1CDC" w:rsidP="00B40719">
      <w:pPr>
        <w:numPr>
          <w:ilvl w:val="0"/>
          <w:numId w:val="25"/>
        </w:numPr>
        <w:jc w:val="both"/>
      </w:pPr>
      <w:r w:rsidRPr="00286E49">
        <w:t>Środkami ochrony prawnej, które przysługują wykonawcy jest odwołanie do Krajowej Izby Odwoławczej   i skarga do Sądu Okręgowego na orzeczenie Krajowej Izby Odwoławczej.</w:t>
      </w:r>
    </w:p>
    <w:p w:rsidR="006A1CDC" w:rsidRPr="00286E49" w:rsidRDefault="006A1CDC" w:rsidP="00B40719">
      <w:pPr>
        <w:numPr>
          <w:ilvl w:val="0"/>
          <w:numId w:val="25"/>
        </w:numPr>
        <w:jc w:val="both"/>
      </w:pPr>
      <w:r w:rsidRPr="00286E49">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A1CDC" w:rsidRPr="00286E49" w:rsidRDefault="006A1CDC" w:rsidP="00B40719">
      <w:pPr>
        <w:numPr>
          <w:ilvl w:val="0"/>
          <w:numId w:val="25"/>
        </w:numPr>
        <w:jc w:val="both"/>
      </w:pPr>
      <w:r w:rsidRPr="00286E49">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A1CDC" w:rsidRPr="00286E49" w:rsidRDefault="006A1CDC" w:rsidP="00B40719">
      <w:pPr>
        <w:numPr>
          <w:ilvl w:val="0"/>
          <w:numId w:val="25"/>
        </w:numPr>
        <w:jc w:val="both"/>
      </w:pPr>
      <w:r w:rsidRPr="00286E49">
        <w:t>Odwołujący przesyła kopię odwołania zamawiającemu przed upływem terminu do wniesienia odwołania w taki sposób, aby mógł on zapoznać się z jego treścią przed upływem tego terminu.</w:t>
      </w:r>
    </w:p>
    <w:p w:rsidR="006A1CDC" w:rsidRPr="00286E49" w:rsidRDefault="006A1CDC" w:rsidP="00B40719">
      <w:pPr>
        <w:numPr>
          <w:ilvl w:val="0"/>
          <w:numId w:val="25"/>
        </w:numPr>
        <w:jc w:val="both"/>
      </w:pPr>
      <w:r w:rsidRPr="00286E49">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rsidR="006A1CDC" w:rsidRPr="00286E49" w:rsidRDefault="006A1CDC" w:rsidP="00B40719">
      <w:pPr>
        <w:numPr>
          <w:ilvl w:val="0"/>
          <w:numId w:val="25"/>
        </w:numPr>
        <w:jc w:val="both"/>
      </w:pPr>
      <w:r w:rsidRPr="00286E49">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6A1CDC" w:rsidRPr="00286E49" w:rsidRDefault="006A1CDC" w:rsidP="00B40719">
      <w:pPr>
        <w:numPr>
          <w:ilvl w:val="0"/>
          <w:numId w:val="25"/>
        </w:numPr>
        <w:jc w:val="both"/>
      </w:pPr>
      <w:r w:rsidRPr="00286E49">
        <w:t xml:space="preserve">Szczegółowo uprawnienia i obowiązki wykonawców i zamawiającego związane </w:t>
      </w:r>
      <w:r w:rsidRPr="00286E49">
        <w:br/>
        <w:t>z wnoszeniem środków ochrony prawnej określone są w Dziale VI ustawy Prawo zamówień publicznych.</w:t>
      </w:r>
    </w:p>
    <w:p w:rsidR="006A1CDC" w:rsidRPr="00286E49" w:rsidRDefault="006A1CDC" w:rsidP="009C02E4"/>
    <w:p w:rsidR="006A1CDC" w:rsidRPr="00286E49" w:rsidRDefault="006A1CDC" w:rsidP="009C02E4">
      <w:pPr>
        <w:rPr>
          <w:b/>
          <w:bCs/>
        </w:rPr>
      </w:pPr>
      <w:r w:rsidRPr="00286E49">
        <w:rPr>
          <w:b/>
          <w:bCs/>
        </w:rPr>
        <w:t>Rozdział 26</w:t>
      </w:r>
    </w:p>
    <w:p w:rsidR="006A1CDC" w:rsidRPr="00286E49" w:rsidRDefault="006A1CDC" w:rsidP="009C02E4">
      <w:pPr>
        <w:rPr>
          <w:b/>
          <w:bCs/>
        </w:rPr>
      </w:pPr>
      <w:r w:rsidRPr="00286E49">
        <w:rPr>
          <w:b/>
          <w:bCs/>
        </w:rPr>
        <w:t>Postanowienia umowy</w:t>
      </w:r>
    </w:p>
    <w:p w:rsidR="006A1CDC" w:rsidRPr="00286E49" w:rsidRDefault="006A1CDC" w:rsidP="009C02E4"/>
    <w:p w:rsidR="006A1CDC" w:rsidRPr="00286E49" w:rsidRDefault="006A1CDC" w:rsidP="004D55D2">
      <w:pPr>
        <w:numPr>
          <w:ilvl w:val="0"/>
          <w:numId w:val="26"/>
        </w:numPr>
        <w:jc w:val="both"/>
      </w:pPr>
      <w:r w:rsidRPr="00286E49">
        <w:t>Postanowienia umowy określone są w części IV SIWZ – wzór umowy.</w:t>
      </w:r>
    </w:p>
    <w:p w:rsidR="006A1CDC" w:rsidRPr="00286E49" w:rsidRDefault="006A1CDC" w:rsidP="00B40719">
      <w:pPr>
        <w:numPr>
          <w:ilvl w:val="0"/>
          <w:numId w:val="26"/>
        </w:numPr>
        <w:jc w:val="both"/>
      </w:pPr>
      <w:r w:rsidRPr="00286E49">
        <w:t>Do umów w sprawach zamówień publicznych, zwanych dalej "umowami", stosuje się przepisy ustawy z dnia 23 kwietnia 1964 r. - Kodeks cywilny, jeżeli przepisy ustawy nie stanowią inaczej.</w:t>
      </w:r>
    </w:p>
    <w:p w:rsidR="006A1CDC" w:rsidRPr="00286E49" w:rsidRDefault="006A1CDC" w:rsidP="00B40719">
      <w:pPr>
        <w:numPr>
          <w:ilvl w:val="0"/>
          <w:numId w:val="26"/>
        </w:numPr>
        <w:jc w:val="both"/>
      </w:pPr>
      <w:r w:rsidRPr="00286E49">
        <w:t>Umowa wymaga, pod rygorem nieważności, zachowania formy pisemnej.</w:t>
      </w:r>
    </w:p>
    <w:p w:rsidR="006A1CDC" w:rsidRPr="00286E49" w:rsidRDefault="006A1CDC" w:rsidP="00B40719">
      <w:pPr>
        <w:numPr>
          <w:ilvl w:val="0"/>
          <w:numId w:val="26"/>
        </w:numPr>
        <w:jc w:val="both"/>
      </w:pPr>
      <w:r w:rsidRPr="00286E49">
        <w:t>Umowa jest jawna i podlegaj udostępnianiu na zasadach określonych w przepisach o dostępie do informacji publicznej.</w:t>
      </w:r>
    </w:p>
    <w:p w:rsidR="006A1CDC" w:rsidRPr="00286E49" w:rsidRDefault="006A1CDC" w:rsidP="00B40719">
      <w:pPr>
        <w:numPr>
          <w:ilvl w:val="0"/>
          <w:numId w:val="26"/>
        </w:numPr>
        <w:jc w:val="both"/>
      </w:pPr>
      <w:r w:rsidRPr="00286E49">
        <w:t>Zakres świadczenia wykonawcy wynikający z umowy jest tożsamy z jego zobowiązaniem zawartym w ofercie.</w:t>
      </w:r>
    </w:p>
    <w:p w:rsidR="006A1CDC" w:rsidRPr="008A3402" w:rsidRDefault="006A1CDC" w:rsidP="008A3402">
      <w:pPr>
        <w:numPr>
          <w:ilvl w:val="0"/>
          <w:numId w:val="26"/>
        </w:numPr>
        <w:jc w:val="both"/>
      </w:pPr>
      <w:r w:rsidRPr="00286E49">
        <w:t>Umowa podlega unieważnieniu w części wykraczającej poza określenie przedmiotu zamówienia zawartego w specyfikacji istotnych warunków zamówienia, z uwzględnieniem art. 144 pzp.</w:t>
      </w:r>
    </w:p>
    <w:sectPr w:rsidR="006A1CDC" w:rsidRPr="008A3402" w:rsidSect="00E60A47">
      <w:headerReference w:type="default" r:id="rId11"/>
      <w:footerReference w:type="default" r:id="rId12"/>
      <w:headerReference w:type="first" r:id="rId13"/>
      <w:footerReference w:type="first" r:id="rId14"/>
      <w:pgSz w:w="11906" w:h="16838" w:code="9"/>
      <w:pgMar w:top="1813"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DC" w:rsidRDefault="006A1CDC">
      <w:r>
        <w:separator/>
      </w:r>
    </w:p>
  </w:endnote>
  <w:endnote w:type="continuationSeparator" w:id="0">
    <w:p w:rsidR="006A1CDC" w:rsidRDefault="006A1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DC" w:rsidRPr="00124D4A" w:rsidRDefault="006A1CDC" w:rsidP="00124D4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0" o:spid="_x0000_s2049" type="#_x0000_t75" alt="listownik-mono-Pomorskie-FE-UMWP-UE-EFSI-RPO2014-2020-2015-stop" style="position:absolute;margin-left:0;margin-top:785.3pt;width:553.05pt;height:15.3pt;z-index:251660288;visibility:visible;mso-position-horizontal:center;mso-position-horizontal-relative:page;mso-position-vertical-relative:page" o:allowincell="f">
          <v:imagedata r:id="rId1"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DC" w:rsidRDefault="006A1CDC">
    <w:pPr>
      <w:pStyle w:val="Footer"/>
      <w:jc w:val="center"/>
    </w:pPr>
    <w:fldSimple w:instr="PAGE   \* MERGEFORMAT">
      <w:r>
        <w:rPr>
          <w:noProof/>
        </w:rPr>
        <w:t>1</w:t>
      </w:r>
    </w:fldSimple>
  </w:p>
  <w:p w:rsidR="006A1CDC" w:rsidRPr="00B01F08" w:rsidRDefault="006A1CDC" w:rsidP="00B01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DC" w:rsidRDefault="006A1CDC">
      <w:r>
        <w:separator/>
      </w:r>
    </w:p>
  </w:footnote>
  <w:footnote w:type="continuationSeparator" w:id="0">
    <w:p w:rsidR="006A1CDC" w:rsidRDefault="006A1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DC" w:rsidRDefault="006A1C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DC" w:rsidRDefault="006A1C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1" o:spid="_x0000_s2050" type="#_x0000_t75" alt="listownik-mono-Pomorskie-FE-UMWP-UE-EFRR-RPO2014-2020-2015-nag" style="position:absolute;margin-left:0;margin-top:19.85pt;width:552.75pt;height:59.25pt;z-index:251662336;visibility:visible;mso-position-horizontal:center;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265"/>
    <w:multiLevelType w:val="hybridMultilevel"/>
    <w:tmpl w:val="1BB40BF0"/>
    <w:lvl w:ilvl="0" w:tplc="94E24A0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
    <w:nsid w:val="110478BE"/>
    <w:multiLevelType w:val="hybridMultilevel"/>
    <w:tmpl w:val="F98E7D62"/>
    <w:lvl w:ilvl="0" w:tplc="0415000F">
      <w:start w:val="1"/>
      <w:numFmt w:val="decimal"/>
      <w:lvlText w:val="%1."/>
      <w:lvlJc w:val="left"/>
      <w:pPr>
        <w:tabs>
          <w:tab w:val="num" w:pos="720"/>
        </w:tabs>
        <w:ind w:left="720" w:hanging="360"/>
      </w:pPr>
      <w:rPr>
        <w:rFonts w:hint="default"/>
      </w:rPr>
    </w:lvl>
    <w:lvl w:ilvl="1" w:tplc="53F8D14E">
      <w:start w:val="1"/>
      <w:numFmt w:val="bullet"/>
      <w:lvlText w:val=""/>
      <w:lvlJc w:val="left"/>
      <w:pPr>
        <w:tabs>
          <w:tab w:val="num" w:pos="1440"/>
        </w:tabs>
        <w:ind w:left="1440" w:hanging="360"/>
      </w:pPr>
      <w:rPr>
        <w:rFonts w:ascii="Symbol" w:hAnsi="Symbol" w:cs="Symbol"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5AA4744"/>
    <w:multiLevelType w:val="hybridMultilevel"/>
    <w:tmpl w:val="924E29C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8314753"/>
    <w:multiLevelType w:val="hybridMultilevel"/>
    <w:tmpl w:val="FFA892EA"/>
    <w:lvl w:ilvl="0" w:tplc="E7B25BA0">
      <w:start w:val="1"/>
      <w:numFmt w:val="bullet"/>
      <w:lvlText w:val="-"/>
      <w:lvlJc w:val="left"/>
      <w:pPr>
        <w:tabs>
          <w:tab w:val="num" w:pos="1667"/>
        </w:tabs>
        <w:ind w:left="1667" w:hanging="227"/>
      </w:pPr>
      <w:rPr>
        <w:rFonts w:ascii="Arial" w:hAnsi="Aria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97B460A"/>
    <w:multiLevelType w:val="hybridMultilevel"/>
    <w:tmpl w:val="FE2C91F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BFE0777"/>
    <w:multiLevelType w:val="hybridMultilevel"/>
    <w:tmpl w:val="4432BE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3857FC"/>
    <w:multiLevelType w:val="hybridMultilevel"/>
    <w:tmpl w:val="36524F4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7646CAA"/>
    <w:multiLevelType w:val="hybridMultilevel"/>
    <w:tmpl w:val="62CA68B2"/>
    <w:lvl w:ilvl="0" w:tplc="E93C48D6">
      <w:start w:val="1"/>
      <w:numFmt w:val="bullet"/>
      <w:lvlText w:val="-"/>
      <w:lvlJc w:val="left"/>
      <w:pPr>
        <w:tabs>
          <w:tab w:val="num" w:pos="340"/>
        </w:tabs>
        <w:ind w:left="340" w:hanging="227"/>
      </w:pPr>
      <w:rPr>
        <w:rFonts w:ascii="Arial" w:hAnsi="Arial" w:cs="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2D45663B"/>
    <w:multiLevelType w:val="hybridMultilevel"/>
    <w:tmpl w:val="40544A4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EE256CF"/>
    <w:multiLevelType w:val="hybridMultilevel"/>
    <w:tmpl w:val="0C3EE75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2884260"/>
    <w:multiLevelType w:val="hybridMultilevel"/>
    <w:tmpl w:val="11A09E8C"/>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5827F4A"/>
    <w:multiLevelType w:val="hybridMultilevel"/>
    <w:tmpl w:val="3612A0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5FB20BE"/>
    <w:multiLevelType w:val="hybridMultilevel"/>
    <w:tmpl w:val="8280E5D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DE529FD"/>
    <w:multiLevelType w:val="hybridMultilevel"/>
    <w:tmpl w:val="4B520AE0"/>
    <w:lvl w:ilvl="0" w:tplc="BE708772">
      <w:start w:val="1"/>
      <w:numFmt w:val="lowerLetter"/>
      <w:lvlText w:val="%1."/>
      <w:lvlJc w:val="left"/>
      <w:pPr>
        <w:tabs>
          <w:tab w:val="num" w:pos="1080"/>
        </w:tabs>
        <w:ind w:left="1080" w:hanging="360"/>
      </w:pPr>
      <w:rPr>
        <w:rFonts w:hint="default"/>
        <w:color w:val="auto"/>
      </w:rPr>
    </w:lvl>
    <w:lvl w:ilvl="1" w:tplc="E7B25BA0">
      <w:start w:val="1"/>
      <w:numFmt w:val="bullet"/>
      <w:lvlText w:val="-"/>
      <w:lvlJc w:val="left"/>
      <w:pPr>
        <w:tabs>
          <w:tab w:val="num" w:pos="1667"/>
        </w:tabs>
        <w:ind w:left="1667" w:hanging="227"/>
      </w:pPr>
      <w:rPr>
        <w:rFonts w:ascii="Arial" w:hAnsi="Arial" w:cs="Arial" w:hint="default"/>
        <w:color w:val="auto"/>
      </w:rPr>
    </w:lvl>
    <w:lvl w:ilvl="2" w:tplc="EB54B60C">
      <w:start w:val="2"/>
      <w:numFmt w:val="decimal"/>
      <w:lvlText w:val="%3."/>
      <w:lvlJc w:val="left"/>
      <w:pPr>
        <w:tabs>
          <w:tab w:val="num" w:pos="360"/>
        </w:tabs>
        <w:ind w:left="360" w:hanging="360"/>
      </w:pPr>
      <w:rPr>
        <w:rFonts w:hint="default"/>
      </w:rPr>
    </w:lvl>
    <w:lvl w:ilvl="3" w:tplc="BE708772">
      <w:start w:val="1"/>
      <w:numFmt w:val="lowerLetter"/>
      <w:lvlText w:val="%4."/>
      <w:lvlJc w:val="left"/>
      <w:pPr>
        <w:tabs>
          <w:tab w:val="num" w:pos="3240"/>
        </w:tabs>
        <w:ind w:left="3240" w:hanging="360"/>
      </w:pPr>
      <w:rPr>
        <w:rFonts w:hint="default"/>
        <w:color w:val="auto"/>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4">
    <w:nsid w:val="41B90957"/>
    <w:multiLevelType w:val="hybridMultilevel"/>
    <w:tmpl w:val="1C1A78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A525DD4"/>
    <w:multiLevelType w:val="hybridMultilevel"/>
    <w:tmpl w:val="BC90621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BAC5C83"/>
    <w:multiLevelType w:val="hybridMultilevel"/>
    <w:tmpl w:val="4B520AE0"/>
    <w:lvl w:ilvl="0" w:tplc="BE708772">
      <w:start w:val="1"/>
      <w:numFmt w:val="lowerLetter"/>
      <w:lvlText w:val="%1."/>
      <w:lvlJc w:val="left"/>
      <w:pPr>
        <w:tabs>
          <w:tab w:val="num" w:pos="1080"/>
        </w:tabs>
        <w:ind w:left="1080" w:hanging="360"/>
      </w:pPr>
      <w:rPr>
        <w:rFonts w:hint="default"/>
        <w:color w:val="auto"/>
      </w:rPr>
    </w:lvl>
    <w:lvl w:ilvl="1" w:tplc="E7B25BA0">
      <w:start w:val="1"/>
      <w:numFmt w:val="bullet"/>
      <w:lvlText w:val="-"/>
      <w:lvlJc w:val="left"/>
      <w:pPr>
        <w:tabs>
          <w:tab w:val="num" w:pos="1667"/>
        </w:tabs>
        <w:ind w:left="1667" w:hanging="227"/>
      </w:pPr>
      <w:rPr>
        <w:rFonts w:ascii="Arial" w:hAnsi="Arial" w:cs="Arial" w:hint="default"/>
        <w:color w:val="auto"/>
      </w:rPr>
    </w:lvl>
    <w:lvl w:ilvl="2" w:tplc="EB54B60C">
      <w:start w:val="2"/>
      <w:numFmt w:val="decimal"/>
      <w:lvlText w:val="%3."/>
      <w:lvlJc w:val="left"/>
      <w:pPr>
        <w:tabs>
          <w:tab w:val="num" w:pos="360"/>
        </w:tabs>
        <w:ind w:left="360" w:hanging="360"/>
      </w:pPr>
      <w:rPr>
        <w:rFonts w:hint="default"/>
      </w:rPr>
    </w:lvl>
    <w:lvl w:ilvl="3" w:tplc="BE708772">
      <w:start w:val="1"/>
      <w:numFmt w:val="lowerLetter"/>
      <w:lvlText w:val="%4."/>
      <w:lvlJc w:val="left"/>
      <w:pPr>
        <w:tabs>
          <w:tab w:val="num" w:pos="3240"/>
        </w:tabs>
        <w:ind w:left="3240" w:hanging="360"/>
      </w:pPr>
      <w:rPr>
        <w:rFonts w:hint="default"/>
        <w:color w:val="auto"/>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7">
    <w:nsid w:val="518B01A1"/>
    <w:multiLevelType w:val="hybridMultilevel"/>
    <w:tmpl w:val="7DB403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52F252E"/>
    <w:multiLevelType w:val="hybridMultilevel"/>
    <w:tmpl w:val="4B520AE0"/>
    <w:lvl w:ilvl="0" w:tplc="BE708772">
      <w:start w:val="1"/>
      <w:numFmt w:val="lowerLetter"/>
      <w:lvlText w:val="%1."/>
      <w:lvlJc w:val="left"/>
      <w:pPr>
        <w:tabs>
          <w:tab w:val="num" w:pos="1080"/>
        </w:tabs>
        <w:ind w:left="1080" w:hanging="360"/>
      </w:pPr>
      <w:rPr>
        <w:rFonts w:hint="default"/>
        <w:color w:val="auto"/>
      </w:rPr>
    </w:lvl>
    <w:lvl w:ilvl="1" w:tplc="E7B25BA0">
      <w:start w:val="1"/>
      <w:numFmt w:val="bullet"/>
      <w:lvlText w:val="-"/>
      <w:lvlJc w:val="left"/>
      <w:pPr>
        <w:tabs>
          <w:tab w:val="num" w:pos="1667"/>
        </w:tabs>
        <w:ind w:left="1667" w:hanging="227"/>
      </w:pPr>
      <w:rPr>
        <w:rFonts w:ascii="Arial" w:hAnsi="Arial" w:cs="Arial" w:hint="default"/>
        <w:color w:val="auto"/>
      </w:rPr>
    </w:lvl>
    <w:lvl w:ilvl="2" w:tplc="EB54B60C">
      <w:start w:val="2"/>
      <w:numFmt w:val="decimal"/>
      <w:lvlText w:val="%3."/>
      <w:lvlJc w:val="left"/>
      <w:pPr>
        <w:tabs>
          <w:tab w:val="num" w:pos="360"/>
        </w:tabs>
        <w:ind w:left="360" w:hanging="360"/>
      </w:pPr>
      <w:rPr>
        <w:rFonts w:hint="default"/>
      </w:rPr>
    </w:lvl>
    <w:lvl w:ilvl="3" w:tplc="BE708772">
      <w:start w:val="1"/>
      <w:numFmt w:val="lowerLetter"/>
      <w:lvlText w:val="%4."/>
      <w:lvlJc w:val="left"/>
      <w:pPr>
        <w:tabs>
          <w:tab w:val="num" w:pos="3240"/>
        </w:tabs>
        <w:ind w:left="3240" w:hanging="360"/>
      </w:pPr>
      <w:rPr>
        <w:rFonts w:hint="default"/>
        <w:color w:val="auto"/>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9">
    <w:nsid w:val="56497EC5"/>
    <w:multiLevelType w:val="hybridMultilevel"/>
    <w:tmpl w:val="40D465D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81B5EA9"/>
    <w:multiLevelType w:val="hybridMultilevel"/>
    <w:tmpl w:val="AB6840D4"/>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5BB57192"/>
    <w:multiLevelType w:val="hybridMultilevel"/>
    <w:tmpl w:val="56A689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C0C7E9D"/>
    <w:multiLevelType w:val="hybridMultilevel"/>
    <w:tmpl w:val="6E5E65AE"/>
    <w:lvl w:ilvl="0" w:tplc="1EF03B94">
      <w:start w:val="1"/>
      <w:numFmt w:val="decimal"/>
      <w:lvlText w:val="%1."/>
      <w:lvlJc w:val="left"/>
      <w:pPr>
        <w:tabs>
          <w:tab w:val="num" w:pos="720"/>
        </w:tabs>
        <w:ind w:left="720" w:hanging="360"/>
      </w:pPr>
      <w:rPr>
        <w:rFonts w:hint="default"/>
        <w:color w:val="auto"/>
      </w:rPr>
    </w:lvl>
    <w:lvl w:ilvl="1" w:tplc="E93C48D6">
      <w:start w:val="1"/>
      <w:numFmt w:val="bullet"/>
      <w:lvlText w:val="-"/>
      <w:lvlJc w:val="left"/>
      <w:pPr>
        <w:tabs>
          <w:tab w:val="num" w:pos="1307"/>
        </w:tabs>
        <w:ind w:left="1307" w:hanging="227"/>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6BC24A0E"/>
    <w:multiLevelType w:val="hybridMultilevel"/>
    <w:tmpl w:val="9738C66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C762BD2"/>
    <w:multiLevelType w:val="hybridMultilevel"/>
    <w:tmpl w:val="2326E5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06A6E8D"/>
    <w:multiLevelType w:val="hybridMultilevel"/>
    <w:tmpl w:val="E9CCE0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8397286"/>
    <w:multiLevelType w:val="hybridMultilevel"/>
    <w:tmpl w:val="A9B27E2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C192595"/>
    <w:multiLevelType w:val="hybridMultilevel"/>
    <w:tmpl w:val="F23A62E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C2A1F38"/>
    <w:multiLevelType w:val="hybridMultilevel"/>
    <w:tmpl w:val="CFAA28B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DDC42A2"/>
    <w:multiLevelType w:val="hybridMultilevel"/>
    <w:tmpl w:val="25BAB58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num>
  <w:num w:numId="2">
    <w:abstractNumId w:val="6"/>
  </w:num>
  <w:num w:numId="3">
    <w:abstractNumId w:val="19"/>
  </w:num>
  <w:num w:numId="4">
    <w:abstractNumId w:val="11"/>
  </w:num>
  <w:num w:numId="5">
    <w:abstractNumId w:val="28"/>
  </w:num>
  <w:num w:numId="6">
    <w:abstractNumId w:val="12"/>
  </w:num>
  <w:num w:numId="7">
    <w:abstractNumId w:val="22"/>
  </w:num>
  <w:num w:numId="8">
    <w:abstractNumId w:val="7"/>
  </w:num>
  <w:num w:numId="9">
    <w:abstractNumId w:val="26"/>
  </w:num>
  <w:num w:numId="10">
    <w:abstractNumId w:val="1"/>
  </w:num>
  <w:num w:numId="11">
    <w:abstractNumId w:val="16"/>
  </w:num>
  <w:num w:numId="12">
    <w:abstractNumId w:val="8"/>
  </w:num>
  <w:num w:numId="13">
    <w:abstractNumId w:val="21"/>
  </w:num>
  <w:num w:numId="14">
    <w:abstractNumId w:val="27"/>
  </w:num>
  <w:num w:numId="15">
    <w:abstractNumId w:val="24"/>
  </w:num>
  <w:num w:numId="16">
    <w:abstractNumId w:val="25"/>
  </w:num>
  <w:num w:numId="17">
    <w:abstractNumId w:val="23"/>
  </w:num>
  <w:num w:numId="18">
    <w:abstractNumId w:val="2"/>
  </w:num>
  <w:num w:numId="19">
    <w:abstractNumId w:val="17"/>
  </w:num>
  <w:num w:numId="20">
    <w:abstractNumId w:val="14"/>
  </w:num>
  <w:num w:numId="21">
    <w:abstractNumId w:val="0"/>
  </w:num>
  <w:num w:numId="22">
    <w:abstractNumId w:val="4"/>
  </w:num>
  <w:num w:numId="23">
    <w:abstractNumId w:val="3"/>
  </w:num>
  <w:num w:numId="24">
    <w:abstractNumId w:val="20"/>
  </w:num>
  <w:num w:numId="25">
    <w:abstractNumId w:val="9"/>
  </w:num>
  <w:num w:numId="26">
    <w:abstractNumId w:val="29"/>
  </w:num>
  <w:num w:numId="27">
    <w:abstractNumId w:val="5"/>
  </w:num>
  <w:num w:numId="28">
    <w:abstractNumId w:val="13"/>
  </w:num>
  <w:num w:numId="29">
    <w:abstractNumId w:val="18"/>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07F"/>
    <w:rsid w:val="0000164A"/>
    <w:rsid w:val="00006D7D"/>
    <w:rsid w:val="00021A89"/>
    <w:rsid w:val="000269EF"/>
    <w:rsid w:val="0006144E"/>
    <w:rsid w:val="00061F20"/>
    <w:rsid w:val="00066AB8"/>
    <w:rsid w:val="00080D83"/>
    <w:rsid w:val="000C7362"/>
    <w:rsid w:val="000D283E"/>
    <w:rsid w:val="000E08E0"/>
    <w:rsid w:val="000E3A0F"/>
    <w:rsid w:val="000E4ED8"/>
    <w:rsid w:val="000E5C7C"/>
    <w:rsid w:val="000F2A28"/>
    <w:rsid w:val="000F42B4"/>
    <w:rsid w:val="00104109"/>
    <w:rsid w:val="00124D4A"/>
    <w:rsid w:val="001304E7"/>
    <w:rsid w:val="00130B23"/>
    <w:rsid w:val="00142F3C"/>
    <w:rsid w:val="001607B2"/>
    <w:rsid w:val="00186923"/>
    <w:rsid w:val="00190D5D"/>
    <w:rsid w:val="001A50B9"/>
    <w:rsid w:val="001B210F"/>
    <w:rsid w:val="001D1A3D"/>
    <w:rsid w:val="001D6B17"/>
    <w:rsid w:val="001E2DFA"/>
    <w:rsid w:val="001F35D5"/>
    <w:rsid w:val="001F65D9"/>
    <w:rsid w:val="002043E3"/>
    <w:rsid w:val="0021607F"/>
    <w:rsid w:val="002345E7"/>
    <w:rsid w:val="00241C1F"/>
    <w:rsid w:val="002425AE"/>
    <w:rsid w:val="00256161"/>
    <w:rsid w:val="0026067B"/>
    <w:rsid w:val="00282304"/>
    <w:rsid w:val="002868B4"/>
    <w:rsid w:val="00286E49"/>
    <w:rsid w:val="00297698"/>
    <w:rsid w:val="002C6347"/>
    <w:rsid w:val="002C75CA"/>
    <w:rsid w:val="002E7772"/>
    <w:rsid w:val="002F3750"/>
    <w:rsid w:val="002F5D2D"/>
    <w:rsid w:val="003017D1"/>
    <w:rsid w:val="0030783B"/>
    <w:rsid w:val="0031016C"/>
    <w:rsid w:val="00315901"/>
    <w:rsid w:val="00320AAC"/>
    <w:rsid w:val="00325198"/>
    <w:rsid w:val="00334040"/>
    <w:rsid w:val="00334364"/>
    <w:rsid w:val="0035482A"/>
    <w:rsid w:val="0035651E"/>
    <w:rsid w:val="003600D4"/>
    <w:rsid w:val="003619F2"/>
    <w:rsid w:val="00365820"/>
    <w:rsid w:val="003A03A8"/>
    <w:rsid w:val="003A7D07"/>
    <w:rsid w:val="003B0CE9"/>
    <w:rsid w:val="003C554F"/>
    <w:rsid w:val="003D0845"/>
    <w:rsid w:val="003E1E8F"/>
    <w:rsid w:val="0040149C"/>
    <w:rsid w:val="00411145"/>
    <w:rsid w:val="00414478"/>
    <w:rsid w:val="00416B74"/>
    <w:rsid w:val="004201C2"/>
    <w:rsid w:val="004442FF"/>
    <w:rsid w:val="004803BC"/>
    <w:rsid w:val="00492BD3"/>
    <w:rsid w:val="004975D2"/>
    <w:rsid w:val="004A23B0"/>
    <w:rsid w:val="004B70BD"/>
    <w:rsid w:val="004D55D2"/>
    <w:rsid w:val="004E391A"/>
    <w:rsid w:val="004F0E3C"/>
    <w:rsid w:val="0052111D"/>
    <w:rsid w:val="00522A60"/>
    <w:rsid w:val="005247F9"/>
    <w:rsid w:val="005343E0"/>
    <w:rsid w:val="00541C8F"/>
    <w:rsid w:val="00547316"/>
    <w:rsid w:val="005513E5"/>
    <w:rsid w:val="00551870"/>
    <w:rsid w:val="005760A9"/>
    <w:rsid w:val="00594464"/>
    <w:rsid w:val="00596AB9"/>
    <w:rsid w:val="00596F82"/>
    <w:rsid w:val="005A5DFA"/>
    <w:rsid w:val="005B0045"/>
    <w:rsid w:val="005B7371"/>
    <w:rsid w:val="005C0E40"/>
    <w:rsid w:val="005D33E7"/>
    <w:rsid w:val="005D4FBB"/>
    <w:rsid w:val="00622781"/>
    <w:rsid w:val="006232CE"/>
    <w:rsid w:val="00631607"/>
    <w:rsid w:val="00635354"/>
    <w:rsid w:val="00640BFF"/>
    <w:rsid w:val="00646749"/>
    <w:rsid w:val="00651993"/>
    <w:rsid w:val="00655E6F"/>
    <w:rsid w:val="00660ABA"/>
    <w:rsid w:val="006728C3"/>
    <w:rsid w:val="0069621B"/>
    <w:rsid w:val="006A1CDC"/>
    <w:rsid w:val="006A66A2"/>
    <w:rsid w:val="006B4267"/>
    <w:rsid w:val="006E1CC3"/>
    <w:rsid w:val="006F209E"/>
    <w:rsid w:val="006F2152"/>
    <w:rsid w:val="00707850"/>
    <w:rsid w:val="00707F3E"/>
    <w:rsid w:val="00712741"/>
    <w:rsid w:val="007127E7"/>
    <w:rsid w:val="00721E1B"/>
    <w:rsid w:val="00727F94"/>
    <w:rsid w:val="007337EB"/>
    <w:rsid w:val="00736F35"/>
    <w:rsid w:val="00745D18"/>
    <w:rsid w:val="00772DB0"/>
    <w:rsid w:val="0077616F"/>
    <w:rsid w:val="00776530"/>
    <w:rsid w:val="0078673C"/>
    <w:rsid w:val="00786847"/>
    <w:rsid w:val="00791371"/>
    <w:rsid w:val="00791E8E"/>
    <w:rsid w:val="007947E2"/>
    <w:rsid w:val="007A0109"/>
    <w:rsid w:val="007A6155"/>
    <w:rsid w:val="007B2500"/>
    <w:rsid w:val="007B72C6"/>
    <w:rsid w:val="007D61D6"/>
    <w:rsid w:val="007E1B19"/>
    <w:rsid w:val="007F3623"/>
    <w:rsid w:val="00815B30"/>
    <w:rsid w:val="00827311"/>
    <w:rsid w:val="0083232F"/>
    <w:rsid w:val="00834BB4"/>
    <w:rsid w:val="00835187"/>
    <w:rsid w:val="00864F52"/>
    <w:rsid w:val="00873501"/>
    <w:rsid w:val="00876326"/>
    <w:rsid w:val="00886A89"/>
    <w:rsid w:val="008945D9"/>
    <w:rsid w:val="00894B9C"/>
    <w:rsid w:val="008A3402"/>
    <w:rsid w:val="008C2C63"/>
    <w:rsid w:val="008E2D19"/>
    <w:rsid w:val="008F3EFF"/>
    <w:rsid w:val="009019A5"/>
    <w:rsid w:val="009125AD"/>
    <w:rsid w:val="0091466A"/>
    <w:rsid w:val="00914E36"/>
    <w:rsid w:val="009220D1"/>
    <w:rsid w:val="00934070"/>
    <w:rsid w:val="00940BDE"/>
    <w:rsid w:val="00942818"/>
    <w:rsid w:val="009441AC"/>
    <w:rsid w:val="009446E0"/>
    <w:rsid w:val="00945CE7"/>
    <w:rsid w:val="0095122A"/>
    <w:rsid w:val="00980872"/>
    <w:rsid w:val="009930BC"/>
    <w:rsid w:val="009A1E13"/>
    <w:rsid w:val="009B4822"/>
    <w:rsid w:val="009C02E4"/>
    <w:rsid w:val="009D08E3"/>
    <w:rsid w:val="009D69AD"/>
    <w:rsid w:val="009D71C1"/>
    <w:rsid w:val="009F2CF0"/>
    <w:rsid w:val="00A02167"/>
    <w:rsid w:val="00A04690"/>
    <w:rsid w:val="00A132D9"/>
    <w:rsid w:val="00A13AC8"/>
    <w:rsid w:val="00A152D5"/>
    <w:rsid w:val="00A17459"/>
    <w:rsid w:val="00A21212"/>
    <w:rsid w:val="00A40DD3"/>
    <w:rsid w:val="00A63509"/>
    <w:rsid w:val="00A733E5"/>
    <w:rsid w:val="00A82366"/>
    <w:rsid w:val="00A8311B"/>
    <w:rsid w:val="00AC7D62"/>
    <w:rsid w:val="00AD1EFE"/>
    <w:rsid w:val="00AD228E"/>
    <w:rsid w:val="00B01F08"/>
    <w:rsid w:val="00B11100"/>
    <w:rsid w:val="00B16E8F"/>
    <w:rsid w:val="00B26220"/>
    <w:rsid w:val="00B30401"/>
    <w:rsid w:val="00B40719"/>
    <w:rsid w:val="00B462E9"/>
    <w:rsid w:val="00B57A6C"/>
    <w:rsid w:val="00B6637D"/>
    <w:rsid w:val="00B7425F"/>
    <w:rsid w:val="00BA652C"/>
    <w:rsid w:val="00BA71A8"/>
    <w:rsid w:val="00BB76D0"/>
    <w:rsid w:val="00BC363C"/>
    <w:rsid w:val="00BD1FB3"/>
    <w:rsid w:val="00BE2465"/>
    <w:rsid w:val="00C10B1D"/>
    <w:rsid w:val="00C15B8F"/>
    <w:rsid w:val="00C2549C"/>
    <w:rsid w:val="00C27275"/>
    <w:rsid w:val="00C321E8"/>
    <w:rsid w:val="00C378CB"/>
    <w:rsid w:val="00C62C24"/>
    <w:rsid w:val="00C635B6"/>
    <w:rsid w:val="00C825C9"/>
    <w:rsid w:val="00C95649"/>
    <w:rsid w:val="00CA5CBD"/>
    <w:rsid w:val="00CB0172"/>
    <w:rsid w:val="00CB2FFD"/>
    <w:rsid w:val="00CB307F"/>
    <w:rsid w:val="00CB3461"/>
    <w:rsid w:val="00CB4941"/>
    <w:rsid w:val="00CB6179"/>
    <w:rsid w:val="00CD015D"/>
    <w:rsid w:val="00CE005B"/>
    <w:rsid w:val="00CE3060"/>
    <w:rsid w:val="00CF6633"/>
    <w:rsid w:val="00D0361A"/>
    <w:rsid w:val="00D30ADD"/>
    <w:rsid w:val="00D43A0D"/>
    <w:rsid w:val="00D46867"/>
    <w:rsid w:val="00D50640"/>
    <w:rsid w:val="00D526F3"/>
    <w:rsid w:val="00D74768"/>
    <w:rsid w:val="00D90218"/>
    <w:rsid w:val="00D91749"/>
    <w:rsid w:val="00D952A1"/>
    <w:rsid w:val="00DA2034"/>
    <w:rsid w:val="00DB18CB"/>
    <w:rsid w:val="00DB3347"/>
    <w:rsid w:val="00DB5C39"/>
    <w:rsid w:val="00DC733E"/>
    <w:rsid w:val="00DD0B23"/>
    <w:rsid w:val="00DF57BE"/>
    <w:rsid w:val="00E00516"/>
    <w:rsid w:val="00E06500"/>
    <w:rsid w:val="00E23ADF"/>
    <w:rsid w:val="00E551CB"/>
    <w:rsid w:val="00E57060"/>
    <w:rsid w:val="00E60A47"/>
    <w:rsid w:val="00E82E63"/>
    <w:rsid w:val="00E87616"/>
    <w:rsid w:val="00E91722"/>
    <w:rsid w:val="00E97016"/>
    <w:rsid w:val="00EA5C16"/>
    <w:rsid w:val="00EB4F12"/>
    <w:rsid w:val="00EC4D7C"/>
    <w:rsid w:val="00EE06F6"/>
    <w:rsid w:val="00EE6175"/>
    <w:rsid w:val="00EE7851"/>
    <w:rsid w:val="00EF000D"/>
    <w:rsid w:val="00EF0B4B"/>
    <w:rsid w:val="00F00387"/>
    <w:rsid w:val="00F032E7"/>
    <w:rsid w:val="00F05001"/>
    <w:rsid w:val="00F06669"/>
    <w:rsid w:val="00F0722B"/>
    <w:rsid w:val="00F14588"/>
    <w:rsid w:val="00F20E4B"/>
    <w:rsid w:val="00F25395"/>
    <w:rsid w:val="00F36E22"/>
    <w:rsid w:val="00F42C4E"/>
    <w:rsid w:val="00F431E1"/>
    <w:rsid w:val="00F52D23"/>
    <w:rsid w:val="00F545A3"/>
    <w:rsid w:val="00F55D2E"/>
    <w:rsid w:val="00F768A7"/>
    <w:rsid w:val="00F91B6C"/>
    <w:rsid w:val="00FA46EA"/>
    <w:rsid w:val="00FB23B1"/>
    <w:rsid w:val="00FB5706"/>
    <w:rsid w:val="00FE1F2A"/>
    <w:rsid w:val="00FF30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0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semiHidden/>
    <w:locked/>
    <w:rsid w:val="009220D1"/>
    <w:rPr>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220D1"/>
    <w:rPr>
      <w:sz w:val="24"/>
      <w:szCs w:val="24"/>
    </w:rPr>
  </w:style>
  <w:style w:type="paragraph" w:styleId="BalloonText">
    <w:name w:val="Balloon Text"/>
    <w:basedOn w:val="Normal"/>
    <w:link w:val="BalloonTextChar"/>
    <w:uiPriority w:val="99"/>
    <w:semiHidden/>
    <w:rsid w:val="00EF0B4B"/>
    <w:rPr>
      <w:rFonts w:ascii="Tahoma" w:hAnsi="Tahoma" w:cs="Tahoma"/>
      <w:sz w:val="16"/>
      <w:szCs w:val="16"/>
    </w:rPr>
  </w:style>
  <w:style w:type="character" w:customStyle="1" w:styleId="BalloonTextChar">
    <w:name w:val="Balloon Text Char"/>
    <w:basedOn w:val="DefaultParagraphFont"/>
    <w:link w:val="BalloonText"/>
    <w:uiPriority w:val="99"/>
    <w:locked/>
    <w:rsid w:val="00EF0B4B"/>
    <w:rPr>
      <w:rFonts w:ascii="Tahoma" w:hAnsi="Tahoma" w:cs="Tahoma"/>
      <w:sz w:val="16"/>
      <w:szCs w:val="16"/>
    </w:rPr>
  </w:style>
  <w:style w:type="paragraph" w:styleId="ListParagraph">
    <w:name w:val="List Paragraph"/>
    <w:basedOn w:val="Normal"/>
    <w:uiPriority w:val="99"/>
    <w:qFormat/>
    <w:rsid w:val="009446E0"/>
    <w:pPr>
      <w:ind w:left="720"/>
    </w:pPr>
  </w:style>
  <w:style w:type="paragraph" w:styleId="BodyText">
    <w:name w:val="Body Text"/>
    <w:basedOn w:val="Normal"/>
    <w:link w:val="BodyTextChar"/>
    <w:uiPriority w:val="99"/>
    <w:rsid w:val="00CB2FFD"/>
    <w:pPr>
      <w:spacing w:before="120"/>
      <w:jc w:val="both"/>
    </w:pPr>
  </w:style>
  <w:style w:type="character" w:customStyle="1" w:styleId="BodyTextChar">
    <w:name w:val="Body Text Char"/>
    <w:basedOn w:val="DefaultParagraphFont"/>
    <w:link w:val="BodyText"/>
    <w:uiPriority w:val="99"/>
    <w:locked/>
    <w:rsid w:val="00CB2FFD"/>
    <w:rPr>
      <w:sz w:val="24"/>
      <w:szCs w:val="24"/>
    </w:rPr>
  </w:style>
  <w:style w:type="paragraph" w:styleId="Title">
    <w:name w:val="Title"/>
    <w:basedOn w:val="Normal"/>
    <w:link w:val="TitleChar"/>
    <w:uiPriority w:val="99"/>
    <w:qFormat/>
    <w:rsid w:val="00CB2FFD"/>
    <w:pPr>
      <w:spacing w:line="360" w:lineRule="auto"/>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CB2FFD"/>
    <w:rPr>
      <w:rFonts w:ascii="Cambria" w:hAnsi="Cambria" w:cs="Cambria"/>
      <w:b/>
      <w:bCs/>
      <w:kern w:val="28"/>
      <w:sz w:val="32"/>
      <w:szCs w:val="32"/>
    </w:rPr>
  </w:style>
  <w:style w:type="table" w:styleId="TableGrid">
    <w:name w:val="Table Grid"/>
    <w:basedOn w:val="TableNormal"/>
    <w:uiPriority w:val="99"/>
    <w:rsid w:val="000E4ED8"/>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EC4D7C"/>
    <w:pPr>
      <w:spacing w:after="120"/>
      <w:ind w:left="283"/>
    </w:pPr>
  </w:style>
  <w:style w:type="character" w:customStyle="1" w:styleId="BodyTextIndentChar">
    <w:name w:val="Body Text Indent Char"/>
    <w:basedOn w:val="DefaultParagraphFont"/>
    <w:link w:val="BodyTextIndent"/>
    <w:uiPriority w:val="99"/>
    <w:semiHidden/>
    <w:locked/>
    <w:rsid w:val="00EC4D7C"/>
    <w:rPr>
      <w:sz w:val="24"/>
      <w:szCs w:val="24"/>
    </w:rPr>
  </w:style>
  <w:style w:type="character" w:styleId="Hyperlink">
    <w:name w:val="Hyperlink"/>
    <w:basedOn w:val="DefaultParagraphFont"/>
    <w:uiPriority w:val="99"/>
    <w:rsid w:val="00190D5D"/>
    <w:rPr>
      <w:color w:val="0000FF"/>
      <w:u w:val="single"/>
    </w:rPr>
  </w:style>
  <w:style w:type="character" w:styleId="CommentReference">
    <w:name w:val="annotation reference"/>
    <w:basedOn w:val="DefaultParagraphFont"/>
    <w:uiPriority w:val="99"/>
    <w:semiHidden/>
    <w:rsid w:val="007947E2"/>
    <w:rPr>
      <w:sz w:val="16"/>
      <w:szCs w:val="16"/>
    </w:rPr>
  </w:style>
  <w:style w:type="paragraph" w:styleId="CommentText">
    <w:name w:val="annotation text"/>
    <w:basedOn w:val="Normal"/>
    <w:link w:val="CommentTextChar"/>
    <w:uiPriority w:val="99"/>
    <w:semiHidden/>
    <w:rsid w:val="007947E2"/>
    <w:rPr>
      <w:sz w:val="20"/>
      <w:szCs w:val="20"/>
    </w:rPr>
  </w:style>
  <w:style w:type="character" w:customStyle="1" w:styleId="CommentTextChar">
    <w:name w:val="Comment Text Char"/>
    <w:basedOn w:val="DefaultParagraphFont"/>
    <w:link w:val="CommentText"/>
    <w:uiPriority w:val="99"/>
    <w:semiHidden/>
    <w:locked/>
    <w:rsid w:val="007947E2"/>
  </w:style>
  <w:style w:type="paragraph" w:styleId="CommentSubject">
    <w:name w:val="annotation subject"/>
    <w:basedOn w:val="CommentText"/>
    <w:next w:val="CommentText"/>
    <w:link w:val="CommentSubjectChar"/>
    <w:uiPriority w:val="99"/>
    <w:semiHidden/>
    <w:rsid w:val="007947E2"/>
    <w:rPr>
      <w:b/>
      <w:bCs/>
    </w:rPr>
  </w:style>
  <w:style w:type="character" w:customStyle="1" w:styleId="CommentSubjectChar">
    <w:name w:val="Comment Subject Char"/>
    <w:basedOn w:val="CommentTextChar"/>
    <w:link w:val="CommentSubject"/>
    <w:uiPriority w:val="99"/>
    <w:semiHidden/>
    <w:locked/>
    <w:rsid w:val="007947E2"/>
    <w:rPr>
      <w:b/>
      <w:bCs/>
    </w:rPr>
  </w:style>
</w:styles>
</file>

<file path=word/webSettings.xml><?xml version="1.0" encoding="utf-8"?>
<w:webSettings xmlns:r="http://schemas.openxmlformats.org/officeDocument/2006/relationships" xmlns:w="http://schemas.openxmlformats.org/wordprocessingml/2006/main">
  <w:divs>
    <w:div w:id="1485464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astochojnice.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m@miastochojnice.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pub@tomaszow-maz.pl" TargetMode="External"/><Relationship Id="rId4" Type="http://schemas.openxmlformats.org/officeDocument/2006/relationships/webSettings" Target="webSettings.xml"/><Relationship Id="rId9" Type="http://schemas.openxmlformats.org/officeDocument/2006/relationships/hyperlink" Target="http://www.nbp.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36</Pages>
  <Words>12833</Words>
  <Characters>-32766</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FR1</dc:creator>
  <cp:keywords/>
  <dc:description/>
  <cp:lastModifiedBy>beata</cp:lastModifiedBy>
  <cp:revision>5</cp:revision>
  <cp:lastPrinted>2017-04-27T10:34:00Z</cp:lastPrinted>
  <dcterms:created xsi:type="dcterms:W3CDTF">2017-08-09T06:09:00Z</dcterms:created>
  <dcterms:modified xsi:type="dcterms:W3CDTF">2017-08-24T05:53:00Z</dcterms:modified>
</cp:coreProperties>
</file>