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2B" w:rsidRDefault="000C4055" w:rsidP="00685E2B">
      <w:pPr>
        <w:spacing w:after="0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Załącznik nr 3</w:t>
      </w:r>
      <w:r w:rsidR="00685E2B">
        <w:rPr>
          <w:sz w:val="16"/>
          <w:szCs w:val="16"/>
        </w:rPr>
        <w:t xml:space="preserve"> </w:t>
      </w:r>
    </w:p>
    <w:p w:rsidR="00AC23E8" w:rsidRPr="00FE4078" w:rsidRDefault="00685E2B" w:rsidP="009305CE">
      <w:pPr>
        <w:spacing w:after="0"/>
        <w:jc w:val="right"/>
        <w:rPr>
          <w:color w:val="FF0000"/>
          <w:sz w:val="16"/>
          <w:szCs w:val="16"/>
        </w:rPr>
      </w:pPr>
      <w:r>
        <w:rPr>
          <w:sz w:val="16"/>
          <w:szCs w:val="16"/>
        </w:rPr>
        <w:t>do zapytania ofertowego</w:t>
      </w:r>
      <w:r w:rsidR="00F653FA">
        <w:rPr>
          <w:sz w:val="16"/>
          <w:szCs w:val="16"/>
        </w:rPr>
        <w:t xml:space="preserve"> „Dostawa i montaż 2 sztuk parkometrów” </w:t>
      </w:r>
      <w:r w:rsidR="003F6B8A">
        <w:rPr>
          <w:sz w:val="16"/>
          <w:szCs w:val="16"/>
        </w:rPr>
        <w:t xml:space="preserve"> </w:t>
      </w:r>
      <w:r w:rsidR="003F6B8A" w:rsidRPr="005D2323">
        <w:rPr>
          <w:sz w:val="16"/>
          <w:szCs w:val="16"/>
        </w:rPr>
        <w:t xml:space="preserve">nr </w:t>
      </w:r>
      <w:r w:rsidR="009C3CF9">
        <w:rPr>
          <w:sz w:val="16"/>
          <w:szCs w:val="16"/>
        </w:rPr>
        <w:t>KM.271.3</w:t>
      </w:r>
      <w:r w:rsidR="00363049">
        <w:rPr>
          <w:sz w:val="16"/>
          <w:szCs w:val="16"/>
        </w:rPr>
        <w:t>7</w:t>
      </w:r>
      <w:r w:rsidR="007F28E9">
        <w:rPr>
          <w:sz w:val="16"/>
          <w:szCs w:val="16"/>
        </w:rPr>
        <w:t>.</w:t>
      </w:r>
      <w:r w:rsidR="005D2323" w:rsidRPr="005D2323">
        <w:rPr>
          <w:sz w:val="16"/>
          <w:szCs w:val="16"/>
        </w:rPr>
        <w:t>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C23E8" w:rsidTr="00AC23E8">
        <w:tc>
          <w:tcPr>
            <w:tcW w:w="562" w:type="dxa"/>
          </w:tcPr>
          <w:p w:rsidR="00AC23E8" w:rsidRDefault="00AC23E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00" w:type="dxa"/>
          </w:tcPr>
          <w:p w:rsidR="00AC23E8" w:rsidRPr="00AC23E8" w:rsidRDefault="00AC23E8" w:rsidP="00AC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E8">
              <w:rPr>
                <w:rFonts w:ascii="Times New Roman" w:hAnsi="Times New Roman" w:cs="Times New Roman"/>
                <w:b/>
                <w:sz w:val="24"/>
                <w:szCs w:val="24"/>
              </w:rPr>
              <w:t>OPIS WYMAGAŃ TECHNICZNO - EKSPLOATACYJNYCH</w:t>
            </w:r>
          </w:p>
          <w:p w:rsidR="00AC23E8" w:rsidRPr="00AC23E8" w:rsidRDefault="00AC23E8" w:rsidP="00AC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E8">
              <w:rPr>
                <w:rFonts w:ascii="Times New Roman" w:hAnsi="Times New Roman" w:cs="Times New Roman"/>
                <w:b/>
                <w:sz w:val="24"/>
                <w:szCs w:val="24"/>
              </w:rPr>
              <w:t>URZĄDZEŃ DO POBORU OPŁAT (PARKOMATÓW)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0" w:type="dxa"/>
          </w:tcPr>
          <w:p w:rsidR="00B710B8" w:rsidRPr="00B710B8" w:rsidRDefault="00B710B8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Przeznaczone są dla stref płatnego parkowania na drogach publicznych</w:t>
            </w:r>
          </w:p>
          <w:p w:rsidR="00B710B8" w:rsidRPr="00B710B8" w:rsidRDefault="00B710B8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duż</w:t>
            </w: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ej rotacji pojazdów i spełniają wymagania określone w normie PN-EN</w:t>
            </w:r>
          </w:p>
          <w:p w:rsidR="00AC23E8" w:rsidRDefault="00B710B8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12414:2002.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0" w:type="dxa"/>
          </w:tcPr>
          <w:p w:rsidR="00B710B8" w:rsidRPr="00B710B8" w:rsidRDefault="00B710B8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abrycznie nowe z bieżące</w:t>
            </w:r>
            <w:r w:rsidR="009305CE">
              <w:rPr>
                <w:rFonts w:ascii="Times New Roman" w:hAnsi="Times New Roman" w:cs="Times New Roman"/>
                <w:sz w:val="24"/>
                <w:szCs w:val="24"/>
              </w:rPr>
              <w:t>j produkc</w:t>
            </w:r>
            <w:r w:rsidR="008353F2">
              <w:rPr>
                <w:rFonts w:ascii="Times New Roman" w:hAnsi="Times New Roman" w:cs="Times New Roman"/>
                <w:sz w:val="24"/>
                <w:szCs w:val="24"/>
              </w:rPr>
              <w:t>ji - rok produkcji 2019</w:t>
            </w: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 xml:space="preserve"> jednego typu,</w:t>
            </w:r>
          </w:p>
          <w:p w:rsidR="00AC23E8" w:rsidRDefault="00B710B8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o jednakowych wymiarach;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0" w:type="dxa"/>
          </w:tcPr>
          <w:p w:rsidR="00B710B8" w:rsidRPr="00B710B8" w:rsidRDefault="004566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Parkomet</w:t>
            </w:r>
            <w:r w:rsidR="00DC0A3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710B8">
              <w:rPr>
                <w:rFonts w:ascii="Times New Roman" w:hAnsi="Times New Roman" w:cs="Times New Roman"/>
                <w:sz w:val="24"/>
                <w:szCs w:val="24"/>
              </w:rPr>
              <w:t xml:space="preserve"> muszą</w:t>
            </w:r>
            <w:r w:rsidR="00B710B8" w:rsidRPr="00B710B8">
              <w:rPr>
                <w:rFonts w:ascii="Times New Roman" w:hAnsi="Times New Roman" w:cs="Times New Roman"/>
                <w:sz w:val="24"/>
                <w:szCs w:val="24"/>
              </w:rPr>
              <w:t xml:space="preserve"> być dostosowane do niezawodnej pracy na otwartej</w:t>
            </w:r>
          </w:p>
          <w:p w:rsidR="00B710B8" w:rsidRPr="00B710B8" w:rsidRDefault="00B710B8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przestrzeni w warunkach klimatycz</w:t>
            </w:r>
            <w:r w:rsidR="004566F9">
              <w:rPr>
                <w:rFonts w:ascii="Times New Roman" w:hAnsi="Times New Roman" w:cs="Times New Roman"/>
                <w:sz w:val="24"/>
                <w:szCs w:val="24"/>
              </w:rPr>
              <w:t>nych przy temperaturze od -25°C do +55°C</w:t>
            </w:r>
          </w:p>
          <w:p w:rsidR="00AC23E8" w:rsidRDefault="00B710B8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i wilgotności względnej powietrza do 95% wg normy PN-EN 12414:2002;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0" w:type="dxa"/>
          </w:tcPr>
          <w:p w:rsidR="00AC23E8" w:rsidRDefault="0036304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bookmarkStart w:id="0" w:name="_GoBack"/>
            <w:bookmarkEnd w:id="0"/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0" w:type="dxa"/>
          </w:tcPr>
          <w:p w:rsidR="00AC23E8" w:rsidRDefault="00DC0A3F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 xml:space="preserve">Parametry </w:t>
            </w:r>
            <w:proofErr w:type="spellStart"/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wrzutnika</w:t>
            </w:r>
            <w:proofErr w:type="spellEnd"/>
            <w:r w:rsidRPr="00DC0A3F">
              <w:rPr>
                <w:rFonts w:ascii="Times New Roman" w:hAnsi="Times New Roman" w:cs="Times New Roman"/>
                <w:sz w:val="24"/>
                <w:szCs w:val="24"/>
              </w:rPr>
              <w:t xml:space="preserve"> i kontrolera monet mają być przystosowane </w:t>
            </w:r>
            <w:r w:rsidR="009305CE">
              <w:rPr>
                <w:rFonts w:ascii="Times New Roman" w:hAnsi="Times New Roman" w:cs="Times New Roman"/>
                <w:sz w:val="24"/>
                <w:szCs w:val="24"/>
              </w:rPr>
              <w:t xml:space="preserve">na monety NBP oraz </w:t>
            </w: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="003F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0" w:type="dxa"/>
          </w:tcPr>
          <w:p w:rsidR="000A617A" w:rsidRPr="000A617A" w:rsidRDefault="00DC4A53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617A">
              <w:rPr>
                <w:rFonts w:ascii="Times New Roman" w:hAnsi="Times New Roman" w:cs="Times New Roman"/>
                <w:sz w:val="24"/>
                <w:szCs w:val="24"/>
              </w:rPr>
              <w:t>arkometry</w:t>
            </w:r>
            <w:r w:rsidR="000A617A" w:rsidRPr="000A617A">
              <w:rPr>
                <w:rFonts w:ascii="Times New Roman" w:hAnsi="Times New Roman" w:cs="Times New Roman"/>
                <w:sz w:val="24"/>
                <w:szCs w:val="24"/>
              </w:rPr>
              <w:t xml:space="preserve"> muszą umożliwiać dokonanie opłaty w trybie ciągłym przez całą</w:t>
            </w:r>
          </w:p>
          <w:p w:rsidR="000A617A" w:rsidRPr="000A617A" w:rsidRDefault="000A617A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dobę, 7 dni w tygodniu, z możliwością dokonania opłaty z tzw. przeniesieniem</w:t>
            </w:r>
          </w:p>
          <w:p w:rsidR="000A617A" w:rsidRPr="000A617A" w:rsidRDefault="000A617A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(tj. przeniesienie opłaty lub nadpłaty na następny dzień parkowania, jeżeli</w:t>
            </w:r>
          </w:p>
          <w:p w:rsidR="00AC23E8" w:rsidRDefault="000A617A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opłacony czas postoju jest dłuższy od obowiązującego w danym dniu);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0" w:type="dxa"/>
          </w:tcPr>
          <w:p w:rsidR="000A617A" w:rsidRPr="000A617A" w:rsidRDefault="000A617A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Mieć moż</w:t>
            </w: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liwość przerywania procedury przed ostatecznym zatwierdzeniem</w:t>
            </w:r>
          </w:p>
          <w:p w:rsidR="00AC23E8" w:rsidRDefault="000A617A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postoju przez uż</w:t>
            </w:r>
            <w:r w:rsidR="00AB6037">
              <w:rPr>
                <w:rFonts w:ascii="Times New Roman" w:hAnsi="Times New Roman" w:cs="Times New Roman"/>
                <w:sz w:val="24"/>
                <w:szCs w:val="24"/>
              </w:rPr>
              <w:t>ytkownika.</w:t>
            </w:r>
          </w:p>
        </w:tc>
      </w:tr>
      <w:tr w:rsidR="000A617A" w:rsidTr="00AC23E8">
        <w:tc>
          <w:tcPr>
            <w:tcW w:w="562" w:type="dxa"/>
          </w:tcPr>
          <w:p w:rsidR="000A617A" w:rsidRDefault="000A617A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0" w:type="dxa"/>
          </w:tcPr>
          <w:p w:rsidR="000A617A" w:rsidRPr="000A617A" w:rsidRDefault="000A617A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Muszą posiadać moż</w:t>
            </w: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liwość programowania nastawienia czasowego dla</w:t>
            </w:r>
          </w:p>
          <w:p w:rsidR="000A617A" w:rsidRPr="000A617A" w:rsidRDefault="000A617A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wnoszenia opłat tj. naliczać czas odpowiedni od wniesionej opłaty z</w:t>
            </w:r>
          </w:p>
          <w:p w:rsidR="000A617A" w:rsidRPr="000A617A" w:rsidRDefault="000A617A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uwzględnieniem progresji opłat.</w:t>
            </w:r>
          </w:p>
        </w:tc>
      </w:tr>
      <w:tr w:rsidR="000A617A" w:rsidTr="00AC23E8">
        <w:tc>
          <w:tcPr>
            <w:tcW w:w="562" w:type="dxa"/>
          </w:tcPr>
          <w:p w:rsidR="000A617A" w:rsidRDefault="000A617A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0" w:type="dxa"/>
          </w:tcPr>
          <w:p w:rsidR="000A617A" w:rsidRPr="000A617A" w:rsidRDefault="001562C0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617A">
              <w:rPr>
                <w:rFonts w:ascii="Times New Roman" w:hAnsi="Times New Roman" w:cs="Times New Roman"/>
                <w:sz w:val="24"/>
                <w:szCs w:val="24"/>
              </w:rPr>
              <w:t>arkometry</w:t>
            </w:r>
            <w:r w:rsidR="000A617A" w:rsidRPr="000A617A">
              <w:rPr>
                <w:rFonts w:ascii="Times New Roman" w:hAnsi="Times New Roman" w:cs="Times New Roman"/>
                <w:sz w:val="24"/>
                <w:szCs w:val="24"/>
              </w:rPr>
              <w:t xml:space="preserve"> muszą posiadać czytelny wyświetlacz dostosowany do pracy</w:t>
            </w:r>
          </w:p>
          <w:p w:rsidR="000A617A" w:rsidRDefault="000A617A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w różnych warunkach oświetlenia, w tym po zmroku (podświetlenie);</w:t>
            </w:r>
          </w:p>
        </w:tc>
      </w:tr>
      <w:tr w:rsidR="000A617A" w:rsidTr="00AC23E8">
        <w:tc>
          <w:tcPr>
            <w:tcW w:w="562" w:type="dxa"/>
          </w:tcPr>
          <w:p w:rsidR="000A617A" w:rsidRDefault="000A617A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0" w:type="dxa"/>
          </w:tcPr>
          <w:p w:rsidR="000A617A" w:rsidRPr="000A617A" w:rsidRDefault="001562C0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A617A">
              <w:rPr>
                <w:rFonts w:ascii="Times New Roman" w:hAnsi="Times New Roman" w:cs="Times New Roman"/>
                <w:sz w:val="24"/>
                <w:szCs w:val="24"/>
              </w:rPr>
              <w:t>yświetlacz parkometrów powinien być zabezp</w:t>
            </w:r>
            <w:r w:rsidR="000A617A" w:rsidRPr="000A617A">
              <w:rPr>
                <w:rFonts w:ascii="Times New Roman" w:hAnsi="Times New Roman" w:cs="Times New Roman"/>
                <w:sz w:val="24"/>
                <w:szCs w:val="24"/>
              </w:rPr>
              <w:t>ieczony materiałem</w:t>
            </w:r>
            <w:r w:rsidR="00746E26">
              <w:rPr>
                <w:rFonts w:ascii="Times New Roman" w:hAnsi="Times New Roman" w:cs="Times New Roman"/>
                <w:sz w:val="24"/>
                <w:szCs w:val="24"/>
              </w:rPr>
              <w:t xml:space="preserve"> poliwęglanowym</w:t>
            </w:r>
          </w:p>
          <w:p w:rsidR="000A617A" w:rsidRDefault="000A617A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odpornym na uszk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odzenia oraz łatwym do konserwac</w:t>
            </w: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ji;</w:t>
            </w:r>
          </w:p>
        </w:tc>
      </w:tr>
      <w:tr w:rsidR="009C3CF9" w:rsidTr="00AC23E8">
        <w:tc>
          <w:tcPr>
            <w:tcW w:w="562" w:type="dxa"/>
          </w:tcPr>
          <w:p w:rsidR="009C3CF9" w:rsidRDefault="009C3CF9" w:rsidP="009C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0" w:type="dxa"/>
          </w:tcPr>
          <w:p w:rsidR="009C3CF9" w:rsidRPr="000A617A" w:rsidRDefault="009C3C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Parkometry</w:t>
            </w: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 xml:space="preserve"> w formie komunikatów na wyświetlaczu muszą informować</w:t>
            </w:r>
          </w:p>
          <w:p w:rsidR="009C3CF9" w:rsidRPr="000A617A" w:rsidRDefault="009C3C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użytkowni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o stanie działania parkometrów</w:t>
            </w: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: czynny/nieczynny;</w:t>
            </w:r>
          </w:p>
        </w:tc>
      </w:tr>
      <w:tr w:rsidR="009C3CF9" w:rsidTr="00AC23E8">
        <w:tc>
          <w:tcPr>
            <w:tcW w:w="562" w:type="dxa"/>
          </w:tcPr>
          <w:p w:rsidR="009C3CF9" w:rsidRDefault="009C3CF9" w:rsidP="009C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0" w:type="dxa"/>
          </w:tcPr>
          <w:p w:rsidR="009C3CF9" w:rsidRDefault="009C3C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F28E9">
              <w:rPr>
                <w:rFonts w:ascii="Times New Roman" w:hAnsi="Times New Roman" w:cs="Times New Roman"/>
                <w:sz w:val="24"/>
                <w:szCs w:val="24"/>
              </w:rPr>
              <w:t>arkometr musi posiadać czytnik monet obsługujący monetę testową przeznaczoną         do przeprowadzania testu prawidłowej pracy urządzenia i wydruku biletu testowego, która po przeprowadzonym teście zostaje zwrócona. Wykonawca zobowiązany jest przed uruchomieniem parkometrów dostarczyć Zamawiającemu 5 sztuk żetonów testowych. Fakt użycia żetonu testowego musi być transmitowany do aplikacji nadzorującej SPP,</w:t>
            </w:r>
          </w:p>
        </w:tc>
      </w:tr>
      <w:tr w:rsidR="009C3CF9" w:rsidTr="00AC23E8">
        <w:tc>
          <w:tcPr>
            <w:tcW w:w="562" w:type="dxa"/>
          </w:tcPr>
          <w:p w:rsidR="009C3CF9" w:rsidRDefault="009C3CF9" w:rsidP="009C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0" w:type="dxa"/>
          </w:tcPr>
          <w:p w:rsidR="009C3CF9" w:rsidRPr="000A617A" w:rsidRDefault="009C3C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Parkometry</w:t>
            </w: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 xml:space="preserve"> w formie komunikatów na wyświetlaczu muszą informować</w:t>
            </w:r>
          </w:p>
          <w:p w:rsidR="009C3CF9" w:rsidRPr="000A617A" w:rsidRDefault="009C3C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użytkownika o czynnościach jakie użytkownik powinien wykonać na danym</w:t>
            </w:r>
          </w:p>
          <w:p w:rsidR="009C3CF9" w:rsidRDefault="009C3C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etapie realizacji transakcji. Ponadto na wyświetlaczu powinny zostać przedstawione poniższe dane:</w:t>
            </w:r>
          </w:p>
          <w:p w:rsidR="009C3CF9" w:rsidRDefault="009C3C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aktualny czas i data</w:t>
            </w:r>
          </w:p>
          <w:p w:rsidR="009C3CF9" w:rsidRDefault="009C3C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taryfa</w:t>
            </w:r>
          </w:p>
          <w:p w:rsidR="009C3CF9" w:rsidRDefault="009C3C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wysokość wniesionej opłaty</w:t>
            </w:r>
          </w:p>
          <w:p w:rsidR="009C3CF9" w:rsidRDefault="009C3C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opłacony czas parkowania</w:t>
            </w:r>
          </w:p>
          <w:p w:rsidR="009C3CF9" w:rsidRDefault="009C3C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czas (data, godzina i minuta) końca parkowania.</w:t>
            </w:r>
          </w:p>
        </w:tc>
      </w:tr>
      <w:tr w:rsidR="009C3CF9" w:rsidTr="00AC23E8">
        <w:tc>
          <w:tcPr>
            <w:tcW w:w="562" w:type="dxa"/>
          </w:tcPr>
          <w:p w:rsidR="009C3CF9" w:rsidRDefault="009C3CF9" w:rsidP="009C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0" w:type="dxa"/>
          </w:tcPr>
          <w:p w:rsidR="009C3CF9" w:rsidRPr="001562C0" w:rsidRDefault="009C3C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Na bilecie muszą znajdować się poniższe informacje: </w:t>
            </w:r>
          </w:p>
          <w:p w:rsidR="009C3CF9" w:rsidRPr="001562C0" w:rsidRDefault="009C3C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nazwa i adres emitenta biletu; </w:t>
            </w:r>
          </w:p>
          <w:p w:rsidR="009C3CF9" w:rsidRPr="001562C0" w:rsidRDefault="009C3C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numer kolejny biletu; </w:t>
            </w:r>
          </w:p>
          <w:p w:rsidR="009C3CF9" w:rsidRPr="001562C0" w:rsidRDefault="009C3C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data oraz godzina i minuta wydania biletu; </w:t>
            </w:r>
          </w:p>
          <w:p w:rsidR="009C3CF9" w:rsidRPr="001562C0" w:rsidRDefault="009C3C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data oraz godzina i minuta upływu ważności biletu; </w:t>
            </w:r>
          </w:p>
          <w:p w:rsidR="009C3CF9" w:rsidRPr="001562C0" w:rsidRDefault="009C3CF9" w:rsidP="009C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wysokość wniesionej opłaty; </w:t>
            </w:r>
          </w:p>
          <w:p w:rsidR="009C3CF9" w:rsidRPr="001562C0" w:rsidRDefault="009C3CF9" w:rsidP="009C3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informacja o obowiązku umieszczeniu biletu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widocznym miejscu za przednią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>szybą pojazdu;</w:t>
            </w:r>
          </w:p>
        </w:tc>
      </w:tr>
      <w:tr w:rsidR="009C3CF9" w:rsidTr="00AC23E8">
        <w:tc>
          <w:tcPr>
            <w:tcW w:w="562" w:type="dxa"/>
          </w:tcPr>
          <w:p w:rsidR="009C3CF9" w:rsidRDefault="009C3CF9" w:rsidP="009C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0" w:type="dxa"/>
          </w:tcPr>
          <w:p w:rsidR="009C3CF9" w:rsidRDefault="009C3CF9" w:rsidP="009C3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modułowa parkometru. Przy czym każdy z modułów powinien zawierać oddzielne drzwiczki z zamkami w celu zabezpieczenia  przed włamaniem. Przy czym drzwiczki do skarbca zaprojektowane z boku dolnej części obudowy. </w:t>
            </w:r>
          </w:p>
        </w:tc>
      </w:tr>
      <w:tr w:rsidR="009C3CF9" w:rsidTr="00AC23E8">
        <w:tc>
          <w:tcPr>
            <w:tcW w:w="562" w:type="dxa"/>
          </w:tcPr>
          <w:p w:rsidR="009C3CF9" w:rsidRDefault="009C3CF9" w:rsidP="009C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0" w:type="dxa"/>
          </w:tcPr>
          <w:p w:rsidR="009C3CF9" w:rsidRDefault="009C3CF9" w:rsidP="009C3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</w:t>
            </w:r>
            <w:r w:rsidRPr="009305CE">
              <w:rPr>
                <w:rFonts w:ascii="Times New Roman" w:hAnsi="Times New Roman" w:cs="Times New Roman"/>
              </w:rPr>
              <w:t xml:space="preserve"> z akumulatora,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05CE">
              <w:rPr>
                <w:rFonts w:ascii="Times New Roman" w:hAnsi="Times New Roman" w:cs="Times New Roman"/>
              </w:rPr>
              <w:t xml:space="preserve"> który dodatkowo ładowany jest przez baterię słoneczną zintegrowaną z górną częścią obudowy</w:t>
            </w:r>
          </w:p>
        </w:tc>
      </w:tr>
      <w:tr w:rsidR="009C3CF9" w:rsidTr="00AC23E8">
        <w:tc>
          <w:tcPr>
            <w:tcW w:w="562" w:type="dxa"/>
          </w:tcPr>
          <w:p w:rsidR="009C3CF9" w:rsidRDefault="009C3CF9" w:rsidP="009C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0" w:type="dxa"/>
          </w:tcPr>
          <w:p w:rsidR="009C3CF9" w:rsidRPr="00746E26" w:rsidRDefault="009C3CF9" w:rsidP="009C3CF9">
            <w:pPr>
              <w:rPr>
                <w:rFonts w:ascii="Times New Roman" w:hAnsi="Times New Roman" w:cs="Times New Roman"/>
                <w:u w:val="single"/>
              </w:rPr>
            </w:pPr>
            <w:r w:rsidRPr="00746E26">
              <w:rPr>
                <w:rFonts w:ascii="Times New Roman" w:hAnsi="Times New Roman" w:cs="Times New Roman"/>
                <w:u w:val="single"/>
              </w:rPr>
              <w:t>Parametry techniczne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  <w:r w:rsidRPr="00746E2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C3CF9" w:rsidRPr="00746E26" w:rsidRDefault="009C3CF9" w:rsidP="009C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Wysokość – ok. 1800</w:t>
            </w:r>
            <w:r w:rsidRPr="00746E26">
              <w:rPr>
                <w:rFonts w:ascii="Times New Roman" w:hAnsi="Times New Roman" w:cs="Times New Roman"/>
              </w:rPr>
              <w:t xml:space="preserve"> mm;</w:t>
            </w:r>
          </w:p>
          <w:p w:rsidR="009C3CF9" w:rsidRPr="00746E26" w:rsidRDefault="009C3CF9" w:rsidP="009C3CF9">
            <w:pPr>
              <w:rPr>
                <w:rFonts w:ascii="Times New Roman" w:hAnsi="Times New Roman" w:cs="Times New Roman"/>
              </w:rPr>
            </w:pPr>
            <w:r w:rsidRPr="00746E26">
              <w:rPr>
                <w:rFonts w:ascii="Times New Roman" w:hAnsi="Times New Roman" w:cs="Times New Roman"/>
              </w:rPr>
              <w:t xml:space="preserve">Szerokość </w:t>
            </w:r>
            <w:r>
              <w:rPr>
                <w:rFonts w:ascii="Times New Roman" w:hAnsi="Times New Roman" w:cs="Times New Roman"/>
              </w:rPr>
              <w:t>–</w:t>
            </w:r>
            <w:r w:rsidRPr="00746E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746E26">
              <w:rPr>
                <w:rFonts w:ascii="Times New Roman" w:hAnsi="Times New Roman" w:cs="Times New Roman"/>
              </w:rPr>
              <w:t>400 mm;</w:t>
            </w:r>
          </w:p>
          <w:p w:rsidR="009C3CF9" w:rsidRDefault="009C3CF9" w:rsidP="009C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 – ok.  350</w:t>
            </w:r>
            <w:r w:rsidRPr="00746E26">
              <w:rPr>
                <w:rFonts w:ascii="Times New Roman" w:hAnsi="Times New Roman" w:cs="Times New Roman"/>
              </w:rPr>
              <w:t xml:space="preserve"> mm.</w:t>
            </w:r>
          </w:p>
          <w:p w:rsidR="009C3CF9" w:rsidRDefault="009C3CF9" w:rsidP="009C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Parametry techniczne mogą się nieznacznie różnić od wyżej podanych. </w:t>
            </w:r>
          </w:p>
        </w:tc>
      </w:tr>
    </w:tbl>
    <w:p w:rsidR="00AC23E8" w:rsidRPr="00AC23E8" w:rsidRDefault="00AC23E8" w:rsidP="00AC23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23E8" w:rsidRPr="00AC23E8" w:rsidSect="00DF695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11D6"/>
    <w:multiLevelType w:val="hybridMultilevel"/>
    <w:tmpl w:val="0200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3931"/>
    <w:multiLevelType w:val="hybridMultilevel"/>
    <w:tmpl w:val="7C2E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E7554"/>
    <w:multiLevelType w:val="hybridMultilevel"/>
    <w:tmpl w:val="B73C0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E73F1"/>
    <w:multiLevelType w:val="hybridMultilevel"/>
    <w:tmpl w:val="567AE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B0FC8"/>
    <w:multiLevelType w:val="hybridMultilevel"/>
    <w:tmpl w:val="3290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0AC2"/>
    <w:multiLevelType w:val="hybridMultilevel"/>
    <w:tmpl w:val="AC944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2B"/>
    <w:rsid w:val="000A617A"/>
    <w:rsid w:val="000C4055"/>
    <w:rsid w:val="001562C0"/>
    <w:rsid w:val="002743C9"/>
    <w:rsid w:val="002E46F5"/>
    <w:rsid w:val="00363049"/>
    <w:rsid w:val="003F6B8A"/>
    <w:rsid w:val="004566F9"/>
    <w:rsid w:val="005D2323"/>
    <w:rsid w:val="00685E2B"/>
    <w:rsid w:val="00746E26"/>
    <w:rsid w:val="007F28E9"/>
    <w:rsid w:val="008353F2"/>
    <w:rsid w:val="009305CE"/>
    <w:rsid w:val="009C3CF9"/>
    <w:rsid w:val="00A03C69"/>
    <w:rsid w:val="00A33A00"/>
    <w:rsid w:val="00AB6037"/>
    <w:rsid w:val="00AC23E8"/>
    <w:rsid w:val="00B710B8"/>
    <w:rsid w:val="00B976C7"/>
    <w:rsid w:val="00CC2EA9"/>
    <w:rsid w:val="00D034BE"/>
    <w:rsid w:val="00DA291E"/>
    <w:rsid w:val="00DC0A3F"/>
    <w:rsid w:val="00DC4A53"/>
    <w:rsid w:val="00DF6954"/>
    <w:rsid w:val="00E160A5"/>
    <w:rsid w:val="00F653FA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A76CC-3F95-46FC-AAA4-7574781A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E2B"/>
    <w:pPr>
      <w:ind w:left="720"/>
      <w:contextualSpacing/>
    </w:pPr>
  </w:style>
  <w:style w:type="table" w:styleId="Tabela-Siatka">
    <w:name w:val="Table Grid"/>
    <w:basedOn w:val="Standardowy"/>
    <w:uiPriority w:val="39"/>
    <w:rsid w:val="00AC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9</cp:revision>
  <cp:lastPrinted>2019-12-31T07:11:00Z</cp:lastPrinted>
  <dcterms:created xsi:type="dcterms:W3CDTF">2017-04-12T08:31:00Z</dcterms:created>
  <dcterms:modified xsi:type="dcterms:W3CDTF">2019-12-31T07:25:00Z</dcterms:modified>
</cp:coreProperties>
</file>